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jc w:val="center"/>
        <w:rPr>
          <w:rFonts w:ascii="Calibri" w:hAnsi="Calibri"/>
        </w:rPr>
      </w:pPr>
      <w:r>
        <w:rPr>
          <w:rFonts w:cs="Arial" w:ascii="Calibri" w:hAnsi="Calibri"/>
          <w:b/>
          <w:bCs/>
          <w:i w:val="false"/>
          <w:iCs w:val="false"/>
          <w:color w:val="000000"/>
          <w:szCs w:val="20"/>
        </w:rPr>
        <w:t>HOSPITAL NAVAL MARCÍLIO DIAS</w:t>
      </w:r>
    </w:p>
    <w:p>
      <w:pPr>
        <w:pStyle w:val="Normal"/>
        <w:spacing w:lineRule="auto" w:line="276"/>
        <w:jc w:val="center"/>
        <w:rPr/>
      </w:pPr>
      <w:r>
        <w:rPr>
          <w:rFonts w:cs="Arial" w:ascii="Calibri" w:hAnsi="Calibri"/>
          <w:b/>
          <w:bCs/>
          <w:color w:val="000000" w:themeColor="text1"/>
          <w:szCs w:val="20"/>
        </w:rPr>
        <w:t xml:space="preserve">AVISO DE DISPENSA ELETRÔNICA Nº </w:t>
      </w:r>
      <w:r>
        <w:rPr>
          <w:rFonts w:cs="Arial" w:ascii="Calibri" w:hAnsi="Calibri"/>
          <w:b/>
          <w:bCs/>
          <w:color w:val="000000" w:themeColor="text1"/>
          <w:szCs w:val="20"/>
        </w:rPr>
        <w:t>33</w:t>
      </w:r>
      <w:r>
        <w:rPr>
          <w:rFonts w:cs="Arial" w:ascii="Calibri" w:hAnsi="Calibri"/>
          <w:b/>
          <w:bCs/>
          <w:color w:val="000000" w:themeColor="text1"/>
          <w:szCs w:val="20"/>
        </w:rPr>
        <w:t>/20</w:t>
      </w:r>
      <w:r>
        <w:rPr>
          <w:rFonts w:cs="Arial" w:ascii="Calibri" w:hAnsi="Calibri"/>
          <w:b/>
          <w:bCs/>
          <w:color w:val="000000" w:themeColor="text1"/>
          <w:szCs w:val="20"/>
        </w:rPr>
        <w:t>23</w:t>
      </w:r>
    </w:p>
    <w:p>
      <w:pPr>
        <w:pStyle w:val="Normal"/>
        <w:spacing w:lineRule="auto" w:line="276" w:before="0" w:after="120"/>
        <w:ind w:right="-15" w:hanging="0"/>
        <w:jc w:val="center"/>
        <w:rPr/>
      </w:pPr>
      <w:r>
        <w:rPr>
          <w:rFonts w:cs="Arial" w:ascii="Calibri" w:hAnsi="Calibri"/>
          <w:b/>
          <w:bCs/>
          <w:color w:val="000000" w:themeColor="text1"/>
          <w:szCs w:val="20"/>
        </w:rPr>
        <w:t xml:space="preserve">(Processo Administrativo n.° </w:t>
      </w:r>
      <w:r>
        <w:rPr>
          <w:rFonts w:cs="Arial" w:ascii="Calibri" w:hAnsi="Calibri"/>
          <w:b/>
          <w:bCs/>
          <w:color w:val="000000" w:themeColor="text1"/>
          <w:szCs w:val="20"/>
        </w:rPr>
        <w:t>63148.022465/2023-61</w:t>
      </w:r>
      <w:r>
        <w:rPr>
          <w:rFonts w:cs="Arial" w:ascii="Calibri" w:hAnsi="Calibri"/>
          <w:b/>
          <w:bCs/>
          <w:color w:val="000000" w:themeColor="text1"/>
          <w:szCs w:val="20"/>
        </w:rPr>
        <w:t>)</w:t>
      </w:r>
    </w:p>
    <w:p>
      <w:pPr>
        <w:pStyle w:val="Normal"/>
        <w:rPr>
          <w:rFonts w:ascii="Calibri" w:hAnsi="Calibri" w:cs="Arial"/>
        </w:rPr>
      </w:pPr>
      <w:r>
        <w:rPr>
          <w:rFonts w:cs="Arial" w:ascii="Calibri" w:hAnsi="Calibri"/>
        </w:rPr>
      </w:r>
    </w:p>
    <w:p>
      <w:pPr>
        <w:pStyle w:val="Normal"/>
        <w:snapToGrid w:val="false"/>
        <w:spacing w:lineRule="auto" w:line="276" w:before="0" w:after="120"/>
        <w:ind w:right="-30" w:firstLine="540"/>
        <w:jc w:val="both"/>
        <w:rPr>
          <w:rFonts w:ascii="Calibri" w:hAnsi="Calibri"/>
        </w:rPr>
      </w:pPr>
      <w:r>
        <w:rPr>
          <w:rFonts w:cs="Arial" w:ascii="Calibri" w:hAnsi="Calibri"/>
          <w:color w:val="000000" w:themeColor="text1"/>
          <w:szCs w:val="20"/>
        </w:rPr>
        <w:t xml:space="preserve">Torna-se público que o Hospital Naval Marcílio Dias, por meio da Divisão de Aquisição, realizará Dispensa Eletrônica, </w:t>
      </w:r>
      <w:r>
        <w:rPr>
          <w:rFonts w:cs="Arial" w:ascii="Calibri" w:hAnsi="Calibri"/>
          <w:bCs/>
          <w:color w:val="000000" w:themeColor="text1"/>
          <w:szCs w:val="20"/>
        </w:rPr>
        <w:t xml:space="preserve">com critério de julgamento </w:t>
      </w:r>
      <w:r>
        <w:rPr>
          <w:rFonts w:cs="Arial" w:ascii="Calibri" w:hAnsi="Calibri"/>
          <w:i w:val="false"/>
          <w:iCs w:val="false"/>
          <w:color w:val="000000"/>
          <w:szCs w:val="20"/>
        </w:rPr>
        <w:t>menor preço</w:t>
      </w:r>
      <w:r>
        <w:rPr>
          <w:rFonts w:cs="Arial" w:ascii="Calibri" w:hAnsi="Calibri"/>
          <w:b/>
          <w:bCs/>
          <w:i w:val="false"/>
          <w:iCs w:val="false"/>
          <w:color w:val="000000"/>
          <w:szCs w:val="20"/>
        </w:rPr>
        <w:t xml:space="preserve">, </w:t>
      </w:r>
      <w:r>
        <w:rPr>
          <w:rFonts w:cs="Arial" w:ascii="Calibri" w:hAnsi="Calibri"/>
          <w:color w:val="000000" w:themeColor="text1"/>
          <w:szCs w:val="20"/>
        </w:rPr>
        <w:t>na hipótese do art. 75</w:t>
      </w:r>
      <w:r>
        <w:rPr>
          <w:rFonts w:cs="Arial" w:ascii="Calibri" w:hAnsi="Calibri"/>
          <w:i/>
          <w:iCs/>
          <w:color w:val="000000" w:themeColor="text1"/>
          <w:szCs w:val="20"/>
        </w:rPr>
        <w:t>,</w:t>
      </w:r>
      <w:r>
        <w:rPr>
          <w:rFonts w:cs="Arial" w:ascii="Calibri" w:hAnsi="Calibri"/>
          <w:b w:val="false"/>
          <w:bCs w:val="false"/>
          <w:i w:val="false"/>
          <w:iCs w:val="false"/>
          <w:color w:val="000000" w:themeColor="text1"/>
          <w:szCs w:val="20"/>
        </w:rPr>
        <w:t xml:space="preserve"> </w:t>
      </w:r>
      <w:r>
        <w:rPr>
          <w:rFonts w:cs="Arial" w:ascii="Calibri" w:hAnsi="Calibri"/>
          <w:b w:val="false"/>
          <w:bCs w:val="false"/>
          <w:i w:val="false"/>
          <w:iCs w:val="false"/>
          <w:color w:val="000000"/>
          <w:szCs w:val="20"/>
        </w:rPr>
        <w:t xml:space="preserve">inciso II, </w:t>
      </w:r>
      <w:r>
        <w:rPr>
          <w:rFonts w:cs="Arial" w:ascii="Calibri" w:hAnsi="Calibri"/>
          <w:bCs/>
          <w:szCs w:val="20"/>
        </w:rPr>
        <w:t>nos termos da Lei nº 14.133, de 1º de abril de 2021, da Instrução Normativa SEGES/ME nº 67/2021 e demais legislação aplicável</w:t>
      </w:r>
      <w:r>
        <w:rPr>
          <w:rFonts w:cs="Arial" w:ascii="Calibri" w:hAnsi="Calibri"/>
          <w:color w:val="000000"/>
          <w:szCs w:val="20"/>
        </w:rPr>
        <w:t>.</w:t>
      </w:r>
    </w:p>
    <w:p>
      <w:pPr>
        <w:pStyle w:val="Normal"/>
        <w:bidi w:val="0"/>
        <w:spacing w:lineRule="auto" w:line="276"/>
        <w:jc w:val="both"/>
        <w:rPr>
          <w:rFonts w:ascii="Calibri" w:hAnsi="Calibri" w:cs="Arial"/>
          <w:color w:val="000000" w:themeColor="text1"/>
          <w:szCs w:val="20"/>
        </w:rPr>
      </w:pPr>
      <w:r>
        <w:rPr>
          <w:rFonts w:cs="Arial" w:ascii="Calibri" w:hAnsi="Calibri"/>
          <w:color w:val="000000" w:themeColor="text1"/>
          <w:szCs w:val="20"/>
        </w:rPr>
        <w:t xml:space="preserve">Data da sessão: </w:t>
      </w:r>
      <w:r>
        <w:rPr>
          <w:rFonts w:cs="Arial" w:ascii="Calibri" w:hAnsi="Calibri"/>
          <w:color w:val="000000" w:themeColor="text1"/>
          <w:szCs w:val="20"/>
        </w:rPr>
        <w:t>12/06/2023</w:t>
      </w:r>
    </w:p>
    <w:p>
      <w:pPr>
        <w:pStyle w:val="Normal"/>
        <w:rPr>
          <w:rFonts w:ascii="Calibri" w:hAnsi="Calibri"/>
        </w:rPr>
      </w:pPr>
      <w:r>
        <w:rPr>
          <w:rFonts w:cs="Arial" w:ascii="Calibri" w:hAnsi="Calibri"/>
          <w:color w:val="000000" w:themeColor="text1"/>
          <w:szCs w:val="20"/>
        </w:rPr>
        <w:t>Link:</w:t>
      </w:r>
    </w:p>
    <w:p>
      <w:pPr>
        <w:pStyle w:val="Normal"/>
        <w:rPr/>
      </w:pPr>
      <w:r>
        <w:rPr>
          <w:rFonts w:cs="Arial" w:ascii="Calibri" w:hAnsi="Calibri"/>
          <w:color w:val="000000" w:themeColor="text1"/>
          <w:szCs w:val="20"/>
        </w:rPr>
        <w:t xml:space="preserve">Horário da Fase de Lances: 8:00 às </w:t>
      </w:r>
      <w:r>
        <w:rPr>
          <w:rFonts w:cs="Arial" w:ascii="Calibri" w:hAnsi="Calibri"/>
          <w:i w:val="false"/>
          <w:iCs w:val="false"/>
          <w:color w:val="auto"/>
          <w:szCs w:val="20"/>
        </w:rPr>
        <w:t>14:00</w:t>
      </w:r>
    </w:p>
    <w:p>
      <w:pPr>
        <w:pStyle w:val="PADRO"/>
        <w:keepNext/>
        <w:widowControl/>
        <w:numPr>
          <w:ilvl w:val="0"/>
          <w:numId w:val="1"/>
        </w:numPr>
        <w:shd w:val="clear" w:color="auto" w:fill="auto"/>
        <w:spacing w:before="120" w:after="120"/>
        <w:rPr>
          <w:rFonts w:ascii="Calibri" w:hAnsi="Calibri"/>
        </w:rPr>
      </w:pPr>
      <w:bookmarkStart w:id="0" w:name="_GoBack"/>
      <w:bookmarkEnd w:id="0"/>
      <w:r>
        <w:rPr>
          <w:rFonts w:cs="Arial" w:ascii="Calibri" w:hAnsi="Calibri"/>
          <w:b/>
        </w:rPr>
        <w:t>OBJETO DA CONTRATAÇÃO DIRETA</w:t>
      </w:r>
    </w:p>
    <w:p>
      <w:pPr>
        <w:pStyle w:val="PADRO"/>
        <w:keepNext/>
        <w:widowControl/>
        <w:numPr>
          <w:ilvl w:val="1"/>
          <w:numId w:val="1"/>
        </w:numPr>
        <w:shd w:val="clear" w:color="auto" w:fill="auto"/>
        <w:spacing w:before="120" w:after="120"/>
        <w:rPr/>
      </w:pPr>
      <w:r>
        <w:rPr>
          <w:rFonts w:cs="Arial" w:ascii="Calibri" w:hAnsi="Calibri"/>
          <w:color w:val="000000" w:themeColor="text1"/>
          <w:szCs w:val="20"/>
        </w:rPr>
        <w:t xml:space="preserve">O objeto da presente dispensa é a escolha da proposta mais vantajosa para a </w:t>
      </w:r>
      <w:r>
        <w:rPr>
          <w:rFonts w:cs="Arial" w:ascii="Calibri" w:hAnsi="Calibri"/>
          <w:color w:val="000000"/>
          <w:szCs w:val="20"/>
        </w:rPr>
        <w:t>contratação</w:t>
      </w:r>
      <w:r>
        <w:rPr>
          <w:rFonts w:cs="Arial" w:ascii="Calibri" w:hAnsi="Calibri"/>
          <w:color w:val="000000" w:themeColor="text1"/>
          <w:szCs w:val="20"/>
        </w:rPr>
        <w:t xml:space="preserve"> por dispensa de licitação de</w:t>
      </w:r>
      <w:r>
        <w:rPr>
          <w:rFonts w:cs="Arial" w:ascii="Calibri" w:hAnsi="Calibri"/>
          <w:color w:val="FF0000"/>
          <w:szCs w:val="20"/>
        </w:rPr>
        <w:t xml:space="preserve"> </w:t>
      </w:r>
      <w:r>
        <w:rPr>
          <w:rFonts w:cs="Arial" w:ascii="Calibri" w:hAnsi="Calibri"/>
          <w:color w:val="000000"/>
          <w:szCs w:val="20"/>
        </w:rPr>
        <w:t>canecas de cerâmicas personalizadas com impressão em alta definição policromática (não sai / não borra / não descasca / não desbota), resistentes a micro-ondas e lava-louças, capacidade 350mL</w:t>
      </w:r>
      <w:r>
        <w:rPr>
          <w:rFonts w:cs="Arial" w:ascii="Calibri" w:hAnsi="Calibri"/>
          <w:b/>
          <w:bCs/>
          <w:color w:val="000000" w:themeColor="text1"/>
          <w:szCs w:val="20"/>
        </w:rPr>
        <w:t>,</w:t>
      </w:r>
      <w:r>
        <w:rPr>
          <w:rFonts w:cs="Arial" w:ascii="Calibri" w:hAnsi="Calibri"/>
          <w:color w:val="000000" w:themeColor="text1"/>
          <w:szCs w:val="20"/>
        </w:rPr>
        <w:t xml:space="preserve"> para ofertar aos doadores de sangue no evento realizado pela Marinha do Brasil anualmente “Âncora Social”, conforme condições, quantidades e exigências estabelecidas neste Aviso de Contratação Direta e seus anexos.</w:t>
      </w:r>
    </w:p>
    <w:p>
      <w:pPr>
        <w:pStyle w:val="PADRO"/>
        <w:keepNext/>
        <w:widowControl/>
        <w:numPr>
          <w:ilvl w:val="1"/>
          <w:numId w:val="1"/>
        </w:numPr>
        <w:shd w:val="clear" w:color="auto" w:fill="auto"/>
        <w:spacing w:before="120" w:after="120"/>
        <w:rPr>
          <w:rFonts w:ascii="Calibri" w:hAnsi="Calibri"/>
        </w:rPr>
      </w:pPr>
      <w:r>
        <w:rPr>
          <w:rFonts w:cs="Arial" w:ascii="Calibri" w:hAnsi="Calibri"/>
          <w:i w:val="false"/>
          <w:iCs w:val="false"/>
          <w:color w:val="000000"/>
          <w:szCs w:val="20"/>
        </w:rPr>
        <w:t>A contratação ocorrerá em item</w:t>
      </w:r>
      <w:r>
        <w:rPr>
          <w:rFonts w:cs="Arial" w:ascii="Calibri" w:hAnsi="Calibri"/>
          <w:b/>
          <w:bCs/>
          <w:i w:val="false"/>
          <w:iCs w:val="false"/>
          <w:color w:val="000000"/>
          <w:szCs w:val="20"/>
        </w:rPr>
        <w:t>,</w:t>
      </w:r>
      <w:r>
        <w:rPr>
          <w:rFonts w:cs="Arial" w:ascii="Calibri" w:hAnsi="Calibri"/>
          <w:i w:val="false"/>
          <w:iCs w:val="false"/>
          <w:color w:val="000000"/>
          <w:szCs w:val="20"/>
        </w:rPr>
        <w:t xml:space="preserve"> conforme tabela constante abaixo.</w:t>
      </w:r>
    </w:p>
    <w:tbl>
      <w:tblPr>
        <w:tblW w:w="9775" w:type="dxa"/>
        <w:jc w:val="left"/>
        <w:tblInd w:w="-53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78" w:type="dxa"/>
          <w:bottom w:w="0" w:type="dxa"/>
          <w:right w:w="108" w:type="dxa"/>
        </w:tblCellMar>
        <w:tblLook w:val="04a0"/>
      </w:tblPr>
      <w:tblGrid>
        <w:gridCol w:w="563"/>
        <w:gridCol w:w="3198"/>
        <w:gridCol w:w="917"/>
        <w:gridCol w:w="992"/>
        <w:gridCol w:w="849"/>
        <w:gridCol w:w="996"/>
        <w:gridCol w:w="1131"/>
        <w:gridCol w:w="1127"/>
      </w:tblGrid>
      <w:tr>
        <w:trPr/>
        <w:tc>
          <w:tcPr>
            <w:tcW w:w="56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78" w:type="dxa"/>
            </w:tcMar>
          </w:tcPr>
          <w:p>
            <w:pPr>
              <w:pStyle w:val="Normal"/>
              <w:widowControl w:val="false"/>
              <w:suppressAutoHyphens w:val="true"/>
              <w:jc w:val="center"/>
              <w:rPr>
                <w:rFonts w:ascii="Calibri" w:hAnsi="Calibri"/>
              </w:rPr>
            </w:pPr>
            <w:r>
              <w:rPr>
                <w:rFonts w:cs="Arial" w:ascii="Calibri" w:hAnsi="Calibri"/>
                <w:b/>
                <w:bCs/>
                <w:color w:val="000000"/>
                <w:sz w:val="14"/>
                <w:szCs w:val="14"/>
              </w:rPr>
              <w:t>ITEM</w:t>
            </w:r>
          </w:p>
          <w:p>
            <w:pPr>
              <w:pStyle w:val="Normal"/>
              <w:widowControl w:val="false"/>
              <w:suppressAutoHyphens w:val="true"/>
              <w:jc w:val="center"/>
              <w:rPr>
                <w:rFonts w:ascii="Calibri" w:hAnsi="Calibri" w:cs="Arial"/>
                <w:b/>
                <w:b/>
                <w:color w:val="000000"/>
                <w:sz w:val="14"/>
                <w:szCs w:val="14"/>
              </w:rPr>
            </w:pPr>
            <w:r>
              <w:rPr>
                <w:rFonts w:cs="Arial" w:ascii="Calibri" w:hAnsi="Calibri"/>
                <w:b/>
                <w:color w:val="000000"/>
                <w:sz w:val="14"/>
                <w:szCs w:val="14"/>
              </w:rPr>
            </w:r>
          </w:p>
        </w:tc>
        <w:tc>
          <w:tcPr>
            <w:tcW w:w="319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78" w:type="dxa"/>
            </w:tcMar>
          </w:tcPr>
          <w:p>
            <w:pPr>
              <w:pStyle w:val="Normal"/>
              <w:jc w:val="center"/>
              <w:rPr>
                <w:rFonts w:ascii="Calibri" w:hAnsi="Calibri"/>
              </w:rPr>
            </w:pPr>
            <w:r>
              <w:rPr>
                <w:rFonts w:cs="Arial" w:ascii="Calibri" w:hAnsi="Calibri"/>
                <w:b/>
                <w:bCs/>
                <w:color w:val="000000"/>
                <w:sz w:val="14"/>
                <w:szCs w:val="14"/>
              </w:rPr>
              <w:t>DESCRIÇÃO/</w:t>
            </w:r>
          </w:p>
          <w:p>
            <w:pPr>
              <w:pStyle w:val="Normal"/>
              <w:widowControl w:val="false"/>
              <w:suppressAutoHyphens w:val="true"/>
              <w:jc w:val="center"/>
              <w:rPr>
                <w:rFonts w:ascii="Calibri" w:hAnsi="Calibri"/>
              </w:rPr>
            </w:pPr>
            <w:r>
              <w:rPr>
                <w:rFonts w:cs="Arial" w:ascii="Calibri" w:hAnsi="Calibri"/>
                <w:b/>
                <w:bCs/>
                <w:color w:val="000000"/>
                <w:sz w:val="14"/>
                <w:szCs w:val="14"/>
              </w:rPr>
              <w:t>ESPECIFICAÇÃO</w:t>
            </w:r>
          </w:p>
        </w:tc>
        <w:tc>
          <w:tcPr>
            <w:tcW w:w="91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78" w:type="dxa"/>
            </w:tcMar>
          </w:tcPr>
          <w:p>
            <w:pPr>
              <w:pStyle w:val="Normal"/>
              <w:widowControl w:val="false"/>
              <w:suppressAutoHyphens w:val="true"/>
              <w:jc w:val="center"/>
              <w:rPr>
                <w:rFonts w:ascii="Calibri" w:hAnsi="Calibri"/>
              </w:rPr>
            </w:pPr>
            <w:r>
              <w:rPr>
                <w:rFonts w:cs="Arial" w:ascii="Calibri" w:hAnsi="Calibri"/>
                <w:b/>
                <w:bCs/>
                <w:color w:val="000000"/>
                <w:sz w:val="14"/>
                <w:szCs w:val="14"/>
              </w:rPr>
              <w:t>CATSER/</w:t>
            </w:r>
          </w:p>
          <w:p>
            <w:pPr>
              <w:pStyle w:val="Normal"/>
              <w:widowControl w:val="false"/>
              <w:suppressAutoHyphens w:val="true"/>
              <w:jc w:val="center"/>
              <w:rPr>
                <w:rFonts w:ascii="Calibri" w:hAnsi="Calibri"/>
              </w:rPr>
            </w:pPr>
            <w:r>
              <w:rPr>
                <w:rFonts w:cs="Arial" w:ascii="Calibri" w:hAnsi="Calibri"/>
                <w:b/>
                <w:bCs/>
                <w:color w:val="000000"/>
                <w:sz w:val="14"/>
                <w:szCs w:val="14"/>
              </w:rPr>
              <w:t>CATMAT</w:t>
            </w:r>
          </w:p>
        </w:tc>
        <w:tc>
          <w:tcPr>
            <w:tcW w:w="99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78" w:type="dxa"/>
            </w:tcMar>
          </w:tcPr>
          <w:p>
            <w:pPr>
              <w:pStyle w:val="Normal"/>
              <w:widowControl w:val="false"/>
              <w:suppressAutoHyphens w:val="true"/>
              <w:jc w:val="center"/>
              <w:rPr>
                <w:rFonts w:ascii="Calibri" w:hAnsi="Calibri"/>
              </w:rPr>
            </w:pPr>
            <w:r>
              <w:rPr>
                <w:rFonts w:cs="Arial" w:ascii="Calibri" w:hAnsi="Calibri"/>
                <w:b/>
                <w:bCs/>
                <w:color w:val="000000"/>
                <w:sz w:val="14"/>
                <w:szCs w:val="14"/>
              </w:rPr>
              <w:t>UNIDADE DE MEDIDA</w:t>
            </w:r>
          </w:p>
        </w:tc>
        <w:tc>
          <w:tcPr>
            <w:tcW w:w="84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78" w:type="dxa"/>
            </w:tcMar>
          </w:tcPr>
          <w:p>
            <w:pPr>
              <w:pStyle w:val="Normal"/>
              <w:widowControl w:val="false"/>
              <w:suppressAutoHyphens w:val="true"/>
              <w:jc w:val="center"/>
              <w:rPr>
                <w:rFonts w:ascii="Calibri" w:hAnsi="Calibri"/>
              </w:rPr>
            </w:pPr>
            <w:r>
              <w:rPr>
                <w:rFonts w:cs="Arial" w:ascii="Calibri" w:hAnsi="Calibri"/>
                <w:b/>
                <w:bCs/>
                <w:color w:val="000000"/>
                <w:sz w:val="14"/>
                <w:szCs w:val="14"/>
              </w:rPr>
              <w:t>QUANT.</w:t>
            </w:r>
          </w:p>
        </w:tc>
        <w:tc>
          <w:tcPr>
            <w:tcW w:w="99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78" w:type="dxa"/>
            </w:tcMar>
          </w:tcPr>
          <w:p>
            <w:pPr>
              <w:pStyle w:val="Normal"/>
              <w:widowControl w:val="false"/>
              <w:suppressAutoHyphens w:val="true"/>
              <w:jc w:val="center"/>
              <w:rPr>
                <w:rFonts w:ascii="Calibri" w:hAnsi="Calibri"/>
              </w:rPr>
            </w:pPr>
            <w:r>
              <w:rPr>
                <w:rFonts w:cs="Arial" w:ascii="Calibri" w:hAnsi="Calibri"/>
                <w:b/>
                <w:bCs/>
                <w:color w:val="000000"/>
                <w:sz w:val="14"/>
                <w:szCs w:val="14"/>
              </w:rPr>
              <w:t>PREÇO ESTIMADO</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78" w:type="dxa"/>
            </w:tcMar>
          </w:tcPr>
          <w:p>
            <w:pPr>
              <w:pStyle w:val="Normal"/>
              <w:widowControl w:val="false"/>
              <w:suppressAutoHyphens w:val="true"/>
              <w:jc w:val="center"/>
              <w:rPr>
                <w:rFonts w:ascii="Calibri" w:hAnsi="Calibri"/>
              </w:rPr>
            </w:pPr>
            <w:r>
              <w:rPr>
                <w:rFonts w:cs="Arial" w:ascii="Calibri" w:hAnsi="Calibri"/>
                <w:b/>
                <w:bCs/>
                <w:color w:val="000000"/>
                <w:sz w:val="14"/>
                <w:szCs w:val="14"/>
              </w:rPr>
              <w:t>LOCAL DE EXECUÇÃO</w:t>
            </w:r>
          </w:p>
        </w:tc>
        <w:tc>
          <w:tcPr>
            <w:tcW w:w="11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78" w:type="dxa"/>
            </w:tcMar>
          </w:tcPr>
          <w:p>
            <w:pPr>
              <w:pStyle w:val="Normal"/>
              <w:widowControl w:val="false"/>
              <w:suppressAutoHyphens w:val="true"/>
              <w:jc w:val="center"/>
              <w:rPr>
                <w:rFonts w:ascii="Calibri" w:hAnsi="Calibri"/>
              </w:rPr>
            </w:pPr>
            <w:r>
              <w:rPr>
                <w:rFonts w:cs="Arial" w:ascii="Calibri" w:hAnsi="Calibri"/>
                <w:b/>
                <w:bCs/>
                <w:color w:val="000000"/>
                <w:sz w:val="14"/>
                <w:szCs w:val="14"/>
              </w:rPr>
              <w:t>PRAZO DE EXECUÇÃO</w:t>
            </w:r>
          </w:p>
        </w:tc>
      </w:tr>
      <w:tr>
        <w:trPr/>
        <w:tc>
          <w:tcPr>
            <w:tcW w:w="56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78" w:type="dxa"/>
            </w:tcMar>
          </w:tcPr>
          <w:p>
            <w:pPr>
              <w:pStyle w:val="Normal"/>
              <w:widowControl w:val="false"/>
              <w:suppressAutoHyphens w:val="true"/>
              <w:spacing w:lineRule="auto" w:line="276" w:before="0" w:after="120"/>
              <w:jc w:val="center"/>
              <w:rPr>
                <w:rFonts w:ascii="Calibri" w:hAnsi="Calibri"/>
              </w:rPr>
            </w:pPr>
            <w:r>
              <w:rPr>
                <w:rFonts w:cs="Arial" w:ascii="Calibri" w:hAnsi="Calibri"/>
                <w:b/>
                <w:color w:val="000000"/>
                <w:sz w:val="16"/>
                <w:szCs w:val="16"/>
              </w:rPr>
              <w:t>1</w:t>
            </w:r>
          </w:p>
        </w:tc>
        <w:tc>
          <w:tcPr>
            <w:tcW w:w="319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78" w:type="dxa"/>
            </w:tcMar>
          </w:tcPr>
          <w:p>
            <w:pPr>
              <w:pStyle w:val="Normal"/>
              <w:keepNext/>
              <w:widowControl/>
              <w:shd w:val="clear" w:color="auto" w:fill="auto"/>
              <w:suppressAutoHyphens w:val="true"/>
              <w:spacing w:lineRule="auto" w:line="276" w:before="120" w:after="120"/>
              <w:ind w:hanging="0"/>
              <w:rPr>
                <w:rFonts w:ascii="Calibri" w:hAnsi="Calibri"/>
              </w:rPr>
            </w:pPr>
            <w:r>
              <w:rPr>
                <w:rFonts w:cs="Arial" w:ascii="Calibri" w:hAnsi="Calibri"/>
                <w:b w:val="false"/>
                <w:i w:val="false"/>
                <w:strike w:val="false"/>
                <w:dstrike w:val="false"/>
                <w:outline w:val="false"/>
                <w:shadow w:val="false"/>
                <w:color w:val="25396E"/>
                <w:sz w:val="16"/>
                <w:szCs w:val="20"/>
                <w:u w:val="none"/>
                <w:em w:val="none"/>
              </w:rPr>
              <w:t xml:space="preserve"> </w:t>
            </w:r>
            <w:r>
              <w:rPr>
                <w:rFonts w:ascii="Calibri" w:hAnsi="Calibri"/>
                <w:b w:val="false"/>
                <w:i w:val="false"/>
                <w:strike w:val="false"/>
                <w:dstrike w:val="false"/>
                <w:outline w:val="false"/>
                <w:shadow w:val="false"/>
                <w:color w:val="000000"/>
                <w:sz w:val="16"/>
                <w:u w:val="none"/>
                <w:em w:val="none"/>
              </w:rPr>
              <w:t>CANECA CERÂMICA, CAPACIDADE:350 ML, CARACTERÍSTICAS ADICIONAIS:PERSONALIZADO</w:t>
            </w:r>
          </w:p>
        </w:tc>
        <w:tc>
          <w:tcPr>
            <w:tcW w:w="91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78" w:type="dxa"/>
            </w:tcMar>
          </w:tcPr>
          <w:p>
            <w:pPr>
              <w:pStyle w:val="Normal"/>
              <w:widowControl w:val="false"/>
              <w:suppressAutoHyphens w:val="true"/>
              <w:spacing w:lineRule="auto" w:line="276" w:before="0" w:after="120"/>
              <w:jc w:val="center"/>
              <w:rPr>
                <w:rFonts w:ascii="Calibri" w:hAnsi="Calibri"/>
              </w:rPr>
            </w:pPr>
            <w:r>
              <w:rPr>
                <w:rFonts w:cs="Arial" w:ascii="Calibri" w:hAnsi="Calibri"/>
                <w:color w:val="000000"/>
                <w:sz w:val="16"/>
                <w:szCs w:val="16"/>
              </w:rPr>
              <w:t>437823</w:t>
            </w:r>
          </w:p>
        </w:tc>
        <w:tc>
          <w:tcPr>
            <w:tcW w:w="99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78" w:type="dxa"/>
            </w:tcMar>
          </w:tcPr>
          <w:p>
            <w:pPr>
              <w:pStyle w:val="Normal"/>
              <w:widowControl w:val="false"/>
              <w:suppressAutoHyphens w:val="true"/>
              <w:spacing w:lineRule="auto" w:line="276" w:before="0" w:after="120"/>
              <w:jc w:val="center"/>
              <w:rPr>
                <w:rFonts w:ascii="Calibri" w:hAnsi="Calibri"/>
              </w:rPr>
            </w:pPr>
            <w:r>
              <w:rPr>
                <w:rFonts w:cs="Arial" w:ascii="Calibri" w:hAnsi="Calibri"/>
                <w:color w:val="000000"/>
                <w:sz w:val="16"/>
                <w:szCs w:val="16"/>
              </w:rPr>
              <w:t>UN</w:t>
            </w:r>
          </w:p>
        </w:tc>
        <w:tc>
          <w:tcPr>
            <w:tcW w:w="84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78" w:type="dxa"/>
            </w:tcMar>
          </w:tcPr>
          <w:p>
            <w:pPr>
              <w:pStyle w:val="Normal"/>
              <w:widowControl w:val="false"/>
              <w:suppressAutoHyphens w:val="true"/>
              <w:spacing w:lineRule="auto" w:line="276" w:before="0" w:after="120"/>
              <w:jc w:val="center"/>
              <w:rPr>
                <w:rFonts w:ascii="Calibri" w:hAnsi="Calibri"/>
              </w:rPr>
            </w:pPr>
            <w:r>
              <w:rPr>
                <w:rFonts w:cs="Arial" w:ascii="Calibri" w:hAnsi="Calibri"/>
                <w:color w:val="000000"/>
                <w:sz w:val="16"/>
                <w:szCs w:val="16"/>
              </w:rPr>
              <w:t>200</w:t>
            </w:r>
          </w:p>
        </w:tc>
        <w:tc>
          <w:tcPr>
            <w:tcW w:w="99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78" w:type="dxa"/>
            </w:tcMar>
          </w:tcPr>
          <w:p>
            <w:pPr>
              <w:pStyle w:val="Normal"/>
              <w:widowControl w:val="false"/>
              <w:suppressAutoHyphens w:val="true"/>
              <w:spacing w:lineRule="auto" w:line="276" w:before="0" w:after="120"/>
              <w:rPr/>
            </w:pPr>
            <w:r>
              <w:rPr>
                <w:rFonts w:cs="Arial" w:ascii="Calibri" w:hAnsi="Calibri"/>
                <w:color w:val="000000"/>
                <w:sz w:val="16"/>
                <w:szCs w:val="16"/>
              </w:rPr>
              <w:t xml:space="preserve">R$ </w:t>
            </w:r>
            <w:r>
              <w:rPr>
                <w:rFonts w:cs="Arial" w:ascii="Calibri" w:hAnsi="Calibri"/>
                <w:color w:val="auto"/>
                <w:sz w:val="16"/>
                <w:szCs w:val="16"/>
              </w:rPr>
              <w:t>3.084,50</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78" w:type="dxa"/>
            </w:tcMar>
          </w:tcPr>
          <w:p>
            <w:pPr>
              <w:pStyle w:val="Normal"/>
              <w:widowControl w:val="false"/>
              <w:suppressAutoHyphens w:val="true"/>
              <w:spacing w:lineRule="auto" w:line="276" w:before="0" w:after="120"/>
              <w:rPr>
                <w:rFonts w:ascii="Calibri" w:hAnsi="Calibri"/>
              </w:rPr>
            </w:pPr>
            <w:r>
              <w:rPr>
                <w:rFonts w:cs="Arial" w:ascii="Calibri" w:hAnsi="Calibri"/>
                <w:color w:val="000000"/>
                <w:sz w:val="16"/>
                <w:szCs w:val="16"/>
              </w:rPr>
              <w:t>Rio de Janeiro - RJ</w:t>
            </w:r>
          </w:p>
        </w:tc>
        <w:tc>
          <w:tcPr>
            <w:tcW w:w="11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78" w:type="dxa"/>
            </w:tcMar>
          </w:tcPr>
          <w:p>
            <w:pPr>
              <w:pStyle w:val="Normal"/>
              <w:widowControl w:val="false"/>
              <w:suppressAutoHyphens w:val="true"/>
              <w:spacing w:lineRule="auto" w:line="276" w:before="0" w:after="120"/>
              <w:rPr>
                <w:rFonts w:ascii="Calibri" w:hAnsi="Calibri"/>
              </w:rPr>
            </w:pPr>
            <w:r>
              <w:rPr>
                <w:rFonts w:cs="Arial" w:ascii="Calibri" w:hAnsi="Calibri"/>
                <w:color w:val="000000"/>
                <w:sz w:val="16"/>
                <w:szCs w:val="16"/>
              </w:rPr>
              <w:t>15/07/2023</w:t>
            </w:r>
          </w:p>
        </w:tc>
      </w:tr>
    </w:tbl>
    <w:p>
      <w:pPr>
        <w:pStyle w:val="PADRO"/>
        <w:keepNext/>
        <w:widowControl/>
        <w:numPr>
          <w:ilvl w:val="1"/>
          <w:numId w:val="1"/>
        </w:numPr>
        <w:shd w:val="clear" w:color="auto" w:fill="auto"/>
        <w:spacing w:before="120" w:after="120"/>
        <w:rPr/>
      </w:pPr>
      <w:r>
        <w:rPr>
          <w:rFonts w:cs="Arial" w:ascii="Calibri" w:hAnsi="Calibri"/>
          <w:szCs w:val="20"/>
        </w:rPr>
        <w:t xml:space="preserve">O critério de julgamento adotado será o </w:t>
      </w:r>
      <w:r>
        <w:rPr>
          <w:rFonts w:cs="Arial" w:ascii="Calibri" w:hAnsi="Calibri"/>
          <w:i w:val="false"/>
          <w:iCs w:val="false"/>
          <w:color w:val="000000"/>
          <w:szCs w:val="20"/>
        </w:rPr>
        <w:t>menor preço</w:t>
      </w:r>
      <w:r>
        <w:rPr>
          <w:rFonts w:cs="Arial" w:ascii="Calibri" w:hAnsi="Calibri"/>
          <w:i/>
          <w:iCs/>
          <w:color w:val="FF0000"/>
          <w:szCs w:val="20"/>
        </w:rPr>
        <w:t xml:space="preserve">, </w:t>
      </w:r>
      <w:r>
        <w:rPr>
          <w:rFonts w:cs="Arial" w:ascii="Calibri" w:hAnsi="Calibri"/>
          <w:szCs w:val="20"/>
        </w:rPr>
        <w:t>observadas as exigências contidas neste Aviso de Contratação Direta e seus Anexos quanto às especificações do objeto.</w:t>
      </w:r>
    </w:p>
    <w:p>
      <w:pPr>
        <w:pStyle w:val="PADRO"/>
        <w:keepNext/>
        <w:widowControl/>
        <w:numPr>
          <w:ilvl w:val="0"/>
          <w:numId w:val="1"/>
        </w:numPr>
        <w:shd w:val="clear" w:color="auto" w:fill="auto"/>
        <w:spacing w:before="120" w:after="120"/>
        <w:rPr>
          <w:rFonts w:ascii="Calibri" w:hAnsi="Calibri"/>
        </w:rPr>
      </w:pPr>
      <w:r>
        <w:rPr>
          <w:rFonts w:cs="Arial" w:ascii="Calibri" w:hAnsi="Calibri"/>
          <w:b/>
        </w:rPr>
        <w:t>PARTICIPAÇÃO NA DISPENSA ELETRÔNICA.</w:t>
      </w:r>
    </w:p>
    <w:p>
      <w:pPr>
        <w:pStyle w:val="Normal"/>
        <w:numPr>
          <w:ilvl w:val="1"/>
          <w:numId w:val="1"/>
        </w:numPr>
        <w:snapToGrid w:val="false"/>
        <w:spacing w:lineRule="auto" w:line="276" w:before="120" w:after="120"/>
        <w:ind w:left="425" w:hanging="0"/>
        <w:jc w:val="both"/>
        <w:rPr/>
      </w:pPr>
      <w:r>
        <w:rPr>
          <w:rFonts w:cs="Arial" w:ascii="Calibri" w:hAnsi="Calibri"/>
          <w:szCs w:val="20"/>
        </w:rPr>
        <w:t xml:space="preserve">A participação na presente dispensa eletrônica se dará mediante </w:t>
      </w:r>
      <w:r>
        <w:rPr>
          <w:rFonts w:cs="Arial" w:ascii="Calibri" w:hAnsi="Calibri"/>
          <w:bCs/>
          <w:szCs w:val="20"/>
        </w:rPr>
        <w:t xml:space="preserve">Sistema de Dispensa Eletrônica </w:t>
      </w:r>
      <w:r>
        <w:rPr>
          <w:rFonts w:cs="Arial" w:ascii="Calibri" w:hAnsi="Calibri"/>
          <w:szCs w:val="20"/>
        </w:rPr>
        <w:t xml:space="preserve">integrante do Sistema de Compras do Governo Federal – Comprasnet 4.0, disponível no </w:t>
      </w:r>
      <w:r>
        <w:rPr>
          <w:rFonts w:cs="Arial" w:ascii="Calibri" w:hAnsi="Calibri"/>
          <w:bCs/>
          <w:szCs w:val="20"/>
        </w:rPr>
        <w:t>endereço eletrônico</w:t>
      </w:r>
      <w:r>
        <w:rPr>
          <w:rFonts w:cs="Arial" w:ascii="Calibri" w:hAnsi="Calibri"/>
          <w:bCs/>
          <w:color w:val="CE5C00"/>
          <w:szCs w:val="20"/>
        </w:rPr>
        <w:t xml:space="preserve"> </w:t>
      </w:r>
      <w:r>
        <w:rPr>
          <w:rFonts w:cs="Arial" w:ascii="Calibri" w:hAnsi="Calibri"/>
          <w:bCs/>
          <w:color w:val="auto"/>
          <w:szCs w:val="20"/>
        </w:rPr>
        <w:t>https://www.gov.br/compras/pt-br.</w:t>
      </w:r>
    </w:p>
    <w:p>
      <w:pPr>
        <w:pStyle w:val="Normal"/>
        <w:numPr>
          <w:ilvl w:val="2"/>
          <w:numId w:val="1"/>
        </w:numPr>
        <w:snapToGrid w:val="false"/>
        <w:spacing w:lineRule="auto" w:line="276" w:before="120" w:after="120"/>
        <w:jc w:val="both"/>
        <w:rPr>
          <w:rFonts w:ascii="Calibri" w:hAnsi="Calibri"/>
        </w:rPr>
      </w:pPr>
      <w:r>
        <w:rPr>
          <w:rFonts w:cs="Arial" w:ascii="Calibri" w:hAnsi="Calibri"/>
          <w:szCs w:val="20"/>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jc w:val="both"/>
        <w:rPr>
          <w:rFonts w:ascii="Calibri" w:hAnsi="Calibri"/>
        </w:rPr>
      </w:pPr>
      <w:r>
        <w:rPr>
          <w:rFonts w:cs="Arial" w:ascii="Calibri" w:hAnsi="Calibri"/>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hanging="0"/>
        <w:jc w:val="both"/>
        <w:rPr>
          <w:rFonts w:ascii="Calibri" w:hAnsi="Calibri"/>
        </w:rPr>
      </w:pPr>
      <w:r>
        <w:rPr>
          <w:rFonts w:cs="Arial" w:ascii="Calibri" w:hAnsi="Calibri"/>
          <w:color w:val="000000" w:themeColor="text1"/>
          <w:szCs w:val="20"/>
        </w:rPr>
        <w:t>Não poderão participar desta dispensa os fornecedores:</w:t>
      </w:r>
    </w:p>
    <w:p>
      <w:pPr>
        <w:pStyle w:val="Normal"/>
        <w:numPr>
          <w:ilvl w:val="2"/>
          <w:numId w:val="1"/>
        </w:numPr>
        <w:spacing w:lineRule="auto" w:line="276" w:before="120" w:after="120"/>
        <w:jc w:val="both"/>
        <w:rPr>
          <w:rFonts w:ascii="Calibri" w:hAnsi="Calibri"/>
        </w:rPr>
      </w:pPr>
      <w:r>
        <w:rPr>
          <w:rFonts w:cs="Arial" w:ascii="Calibri" w:hAnsi="Calibri"/>
          <w:color w:val="000000" w:themeColor="text1"/>
          <w:szCs w:val="20"/>
        </w:rPr>
        <w:t>que não atendam às condições deste Aviso de Contratação Direta e seu(s) anexo(s);</w:t>
      </w:r>
    </w:p>
    <w:p>
      <w:pPr>
        <w:pStyle w:val="Normal"/>
        <w:numPr>
          <w:ilvl w:val="2"/>
          <w:numId w:val="1"/>
        </w:numPr>
        <w:spacing w:lineRule="auto" w:line="276" w:before="120" w:after="120"/>
        <w:jc w:val="both"/>
        <w:rPr>
          <w:rFonts w:ascii="Calibri" w:hAnsi="Calibri"/>
        </w:rPr>
      </w:pPr>
      <w:r>
        <w:rPr>
          <w:rFonts w:cs="Arial" w:ascii="Calibri" w:hAnsi="Calibri"/>
          <w:color w:val="000000" w:themeColor="text1"/>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ascii="Calibri" w:hAnsi="Calibri"/>
        </w:rPr>
      </w:pPr>
      <w:r>
        <w:rPr>
          <w:rFonts w:cs="Arial" w:ascii="Calibri" w:hAnsi="Calibri"/>
          <w:color w:val="000000" w:themeColor="text1"/>
          <w:szCs w:val="20"/>
        </w:rPr>
        <w:t>que se enquadrem nas seguintes vedações:</w:t>
      </w:r>
    </w:p>
    <w:p>
      <w:pPr>
        <w:pStyle w:val="Normal"/>
        <w:numPr>
          <w:ilvl w:val="3"/>
          <w:numId w:val="4"/>
        </w:numPr>
        <w:spacing w:lineRule="auto" w:line="276" w:before="120" w:after="120"/>
        <w:jc w:val="both"/>
        <w:rPr>
          <w:rFonts w:ascii="Calibri" w:hAnsi="Calibri"/>
        </w:rPr>
      </w:pPr>
      <w:r>
        <w:rPr>
          <w:rFonts w:cs="Arial" w:ascii="Calibri" w:hAnsi="Calibri"/>
          <w:color w:val="000000"/>
          <w:szCs w:val="20"/>
        </w:rPr>
        <w:t>autor do anteprojeto, do projeto básico ou do projeto executivo, pessoa física ou jurídica, quando a contratação versar sobre obra, serviços ou fornecimento de bens a ele relacionados;</w:t>
      </w:r>
    </w:p>
    <w:p>
      <w:pPr>
        <w:pStyle w:val="Normal"/>
        <w:numPr>
          <w:ilvl w:val="3"/>
          <w:numId w:val="4"/>
        </w:numPr>
        <w:spacing w:lineRule="auto" w:line="276" w:before="120" w:after="120"/>
        <w:jc w:val="both"/>
        <w:rPr>
          <w:rFonts w:ascii="Calibri" w:hAnsi="Calibri"/>
        </w:rPr>
      </w:pPr>
      <w:r>
        <w:rPr>
          <w:rFonts w:cs="Arial" w:ascii="Calibri" w:hAnsi="Calibri"/>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4"/>
        </w:numPr>
        <w:spacing w:lineRule="auto" w:line="276" w:before="120" w:after="120"/>
        <w:jc w:val="both"/>
        <w:rPr>
          <w:rFonts w:ascii="Calibri" w:hAnsi="Calibri"/>
        </w:rPr>
      </w:pPr>
      <w:r>
        <w:rPr>
          <w:rFonts w:cs="Arial" w:ascii="Calibri" w:hAnsi="Calibri"/>
          <w:color w:val="000000"/>
          <w:szCs w:val="20"/>
        </w:rPr>
        <w:t>pessoa física ou jurídica que se encontre, ao tempo da contratação, impossibilitada de contratar em decorrência de sanção que lhe foi imposta;</w:t>
      </w:r>
    </w:p>
    <w:p>
      <w:pPr>
        <w:pStyle w:val="Normal"/>
        <w:numPr>
          <w:ilvl w:val="3"/>
          <w:numId w:val="4"/>
        </w:numPr>
        <w:spacing w:lineRule="auto" w:line="276" w:before="120" w:after="120"/>
        <w:jc w:val="both"/>
        <w:rPr>
          <w:rFonts w:ascii="Calibri" w:hAnsi="Calibri"/>
        </w:rPr>
      </w:pPr>
      <w:r>
        <w:rPr>
          <w:rFonts w:cs="Arial" w:ascii="Calibri" w:hAnsi="Calibri"/>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4"/>
        </w:numPr>
        <w:spacing w:lineRule="auto" w:line="276" w:before="120" w:after="120"/>
        <w:jc w:val="both"/>
        <w:rPr/>
      </w:pPr>
      <w:r>
        <w:rPr>
          <w:rFonts w:cs="Arial" w:ascii="Calibri" w:hAnsi="Calibri"/>
          <w:color w:val="000000"/>
          <w:szCs w:val="20"/>
        </w:rPr>
        <w:t>empresas controladoras, controladas ou coligadas, nos termos da </w:t>
      </w:r>
      <w:hyperlink r:id="rId2">
        <w:r>
          <w:rPr>
            <w:rStyle w:val="LinkdaInternet"/>
            <w:rFonts w:eastAsia="Calibri" w:cs="Arial" w:ascii="Calibri" w:hAnsi="Calibri"/>
            <w:szCs w:val="20"/>
          </w:rPr>
          <w:t>Lei nº 6.404, de 15 de dezembro de 1976</w:t>
        </w:r>
      </w:hyperlink>
      <w:r>
        <w:rPr>
          <w:rFonts w:cs="Arial" w:ascii="Calibri" w:hAnsi="Calibri"/>
          <w:color w:val="000000"/>
          <w:szCs w:val="20"/>
        </w:rPr>
        <w:t>, concorrendo entre si;</w:t>
      </w:r>
    </w:p>
    <w:p>
      <w:pPr>
        <w:pStyle w:val="Normal"/>
        <w:numPr>
          <w:ilvl w:val="3"/>
          <w:numId w:val="4"/>
        </w:numPr>
        <w:spacing w:lineRule="auto" w:line="276" w:before="120" w:after="120"/>
        <w:jc w:val="both"/>
        <w:rPr>
          <w:rFonts w:ascii="Calibri" w:hAnsi="Calibri"/>
        </w:rPr>
      </w:pPr>
      <w:r>
        <w:rPr>
          <w:rFonts w:cs="Arial" w:ascii="Calibri" w:hAnsi="Calibri"/>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ascii="Calibri" w:hAnsi="Calibri"/>
        </w:rPr>
      </w:pPr>
      <w:r>
        <w:rPr>
          <w:rFonts w:cs="Arial" w:ascii="Calibri" w:hAnsi="Calibri"/>
          <w:color w:val="000000"/>
          <w:szCs w:val="20"/>
        </w:rPr>
        <w:t>Equiparam-se aos autores do projeto as empresas integrantes do mesmo grupo econômico;</w:t>
      </w:r>
    </w:p>
    <w:p>
      <w:pPr>
        <w:pStyle w:val="Normal"/>
        <w:numPr>
          <w:ilvl w:val="3"/>
          <w:numId w:val="1"/>
        </w:numPr>
        <w:spacing w:lineRule="auto" w:line="276" w:before="120" w:after="120"/>
        <w:jc w:val="both"/>
        <w:rPr>
          <w:rFonts w:ascii="Calibri" w:hAnsi="Calibri"/>
        </w:rPr>
      </w:pPr>
      <w:r>
        <w:rPr>
          <w:rFonts w:cs="Arial" w:ascii="Calibri" w:hAnsi="Calibri"/>
          <w:color w:val="000000"/>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ascii="Calibri" w:hAnsi="Calibri"/>
        </w:rPr>
      </w:pPr>
      <w:r>
        <w:rPr>
          <w:rFonts w:cs="Arial" w:ascii="Calibri" w:hAnsi="Calibri"/>
          <w:color w:val="000000"/>
          <w:szCs w:val="20"/>
        </w:rPr>
        <w:t>organizações da Sociedade Civil de Interesse Público - OSCIP, atuando nessa condição (Acórdão nº 746/2014-TCU-Plenário); e</w:t>
      </w:r>
    </w:p>
    <w:p>
      <w:pPr>
        <w:pStyle w:val="Normal"/>
        <w:numPr>
          <w:ilvl w:val="2"/>
          <w:numId w:val="1"/>
        </w:numPr>
        <w:spacing w:lineRule="auto" w:line="276" w:before="120" w:after="120"/>
        <w:jc w:val="both"/>
        <w:rPr>
          <w:rFonts w:ascii="Calibri" w:hAnsi="Calibri"/>
        </w:rPr>
      </w:pPr>
      <w:bookmarkStart w:id="1" w:name="_Hlk519667815"/>
      <w:bookmarkEnd w:id="1"/>
      <w:r>
        <w:rPr>
          <w:rFonts w:cs="Arial" w:ascii="Calibri" w:hAnsi="Calibri"/>
          <w:b w:val="false"/>
          <w:bCs w:val="false"/>
          <w:i w:val="false"/>
          <w:iCs w:val="false"/>
          <w:color w:val="000000"/>
          <w:szCs w:val="20"/>
        </w:rPr>
        <w:t>sociedades cooperativas.</w:t>
      </w:r>
    </w:p>
    <w:p>
      <w:pPr>
        <w:pStyle w:val="PADRO"/>
        <w:keepNext/>
        <w:widowControl/>
        <w:numPr>
          <w:ilvl w:val="0"/>
          <w:numId w:val="1"/>
        </w:numPr>
        <w:shd w:val="clear" w:color="auto" w:fill="auto"/>
        <w:spacing w:before="120" w:after="120"/>
        <w:rPr>
          <w:rFonts w:ascii="Calibri" w:hAnsi="Calibri"/>
        </w:rPr>
      </w:pPr>
      <w:r>
        <w:rPr>
          <w:rFonts w:cs="Arial" w:ascii="Calibri" w:hAnsi="Calibri"/>
          <w:b/>
        </w:rPr>
        <w:t>INGRESSO NA DISPENSA ELETRÔNICA E CADASTRAMENTO DA PROPOSTA INICIAL</w:t>
      </w:r>
    </w:p>
    <w:p>
      <w:pPr>
        <w:pStyle w:val="Normal"/>
        <w:numPr>
          <w:ilvl w:val="1"/>
          <w:numId w:val="1"/>
        </w:numPr>
        <w:snapToGrid w:val="false"/>
        <w:spacing w:lineRule="auto" w:line="276" w:before="120" w:after="120"/>
        <w:ind w:left="425" w:hanging="0"/>
        <w:jc w:val="both"/>
        <w:rPr>
          <w:rFonts w:ascii="Calibri" w:hAnsi="Calibri"/>
        </w:rPr>
      </w:pPr>
      <w:r>
        <w:rPr>
          <w:rFonts w:cs="Arial" w:ascii="Calibri" w:hAnsi="Calibri"/>
          <w:color w:val="000000" w:themeColor="text1"/>
          <w:szCs w:val="20"/>
        </w:rPr>
        <w:t>O ingresso do fornecedor na disputa da dispensa eletrônica se dará com o cadastramento de sua proposta inicial, na forma deste item.</w:t>
      </w:r>
    </w:p>
    <w:p>
      <w:pPr>
        <w:pStyle w:val="Normal"/>
        <w:numPr>
          <w:ilvl w:val="1"/>
          <w:numId w:val="1"/>
        </w:numPr>
        <w:snapToGrid w:val="false"/>
        <w:spacing w:lineRule="auto" w:line="276" w:before="120" w:after="120"/>
        <w:ind w:left="425" w:hanging="0"/>
        <w:jc w:val="both"/>
        <w:rPr>
          <w:rFonts w:ascii="Calibri" w:hAnsi="Calibri"/>
        </w:rPr>
      </w:pPr>
      <w:r>
        <w:rPr>
          <w:rFonts w:cs="Arial" w:ascii="Calibri" w:hAnsi="Calibri"/>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76" w:before="120" w:after="120"/>
        <w:jc w:val="both"/>
        <w:rPr>
          <w:rFonts w:ascii="Calibri" w:hAnsi="Calibri"/>
        </w:rPr>
      </w:pPr>
      <w:r>
        <w:rPr>
          <w:rFonts w:cs="Arial" w:ascii="Calibri" w:hAnsi="Calibri"/>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condutas vigentes na data de entrega das propostas.</w:t>
      </w:r>
    </w:p>
    <w:p>
      <w:pPr>
        <w:pStyle w:val="Normal"/>
        <w:numPr>
          <w:ilvl w:val="1"/>
          <w:numId w:val="1"/>
        </w:numPr>
        <w:spacing w:lineRule="auto" w:line="276" w:before="120" w:after="120"/>
        <w:ind w:left="425" w:hanging="0"/>
        <w:jc w:val="both"/>
        <w:rPr>
          <w:rFonts w:ascii="Calibri" w:hAnsi="Calibri"/>
        </w:rPr>
      </w:pPr>
      <w:r>
        <w:rPr>
          <w:rFonts w:cs="Arial" w:ascii="Calibri" w:hAnsi="Calibri"/>
          <w:szCs w:val="20"/>
        </w:rPr>
        <w:t xml:space="preserve">Todas as especificações do </w:t>
      </w:r>
      <w:r>
        <w:rPr>
          <w:rFonts w:cs="Arial" w:ascii="Calibri" w:hAnsi="Calibri"/>
          <w:color w:val="000000" w:themeColor="text1"/>
          <w:szCs w:val="20"/>
        </w:rPr>
        <w:t>objeto</w:t>
      </w:r>
      <w:r>
        <w:rPr>
          <w:rFonts w:cs="Arial" w:ascii="Calibri" w:hAnsi="Calibri"/>
          <w:szCs w:val="20"/>
        </w:rPr>
        <w:t xml:space="preserve"> contidas na proposta, em especial o preço, vinculam a Contratada.</w:t>
      </w:r>
    </w:p>
    <w:p>
      <w:pPr>
        <w:pStyle w:val="Normal"/>
        <w:numPr>
          <w:ilvl w:val="1"/>
          <w:numId w:val="1"/>
        </w:numPr>
        <w:spacing w:lineRule="auto" w:line="276" w:before="120" w:after="120"/>
        <w:ind w:left="425" w:hanging="0"/>
        <w:jc w:val="both"/>
        <w:rPr>
          <w:rFonts w:ascii="Calibri" w:hAnsi="Calibri"/>
        </w:rPr>
      </w:pPr>
      <w:r>
        <w:rPr>
          <w:rFonts w:cs="Arial" w:ascii="Calibri" w:hAnsi="Calibri"/>
          <w:szCs w:val="20"/>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ascii="Calibri" w:hAnsi="Calibri"/>
        </w:rPr>
      </w:pPr>
      <w:r>
        <w:rPr>
          <w:rFonts w:cs="Arial" w:ascii="Calibri" w:hAnsi="Calibri"/>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hanging="0"/>
        <w:jc w:val="both"/>
        <w:rPr>
          <w:rFonts w:ascii="Calibri" w:hAnsi="Calibri"/>
        </w:rPr>
      </w:pPr>
      <w:r>
        <w:rPr>
          <w:rFonts w:cs="Arial" w:ascii="Calibri" w:hAnsi="Calibri"/>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76" w:before="120" w:after="120"/>
        <w:ind w:left="425" w:hanging="0"/>
        <w:jc w:val="both"/>
        <w:rPr>
          <w:rFonts w:ascii="Calibri" w:hAnsi="Calibri"/>
        </w:rPr>
      </w:pPr>
      <w:r>
        <w:rPr>
          <w:rFonts w:cs="Arial" w:ascii="Calibri" w:hAnsi="Calibri"/>
          <w:szCs w:val="20"/>
        </w:rPr>
        <w:t>Independentemente do percentual de tributo inserido na planilha, no pagamento serão retidos na fonte os percentuais estabelecidos na legislação vigente.</w:t>
      </w:r>
    </w:p>
    <w:p>
      <w:pPr>
        <w:pStyle w:val="Normal"/>
        <w:numPr>
          <w:ilvl w:val="1"/>
          <w:numId w:val="1"/>
        </w:numPr>
        <w:spacing w:lineRule="auto" w:line="276" w:before="120" w:after="120"/>
        <w:ind w:left="425" w:hanging="0"/>
        <w:jc w:val="both"/>
        <w:rPr>
          <w:rFonts w:ascii="Calibri" w:hAnsi="Calibri"/>
        </w:rPr>
      </w:pPr>
      <w:r>
        <w:rPr>
          <w:rFonts w:cs="Arial" w:ascii="Calibri" w:hAnsi="Calibri"/>
          <w:szCs w:val="20"/>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left="425" w:hanging="0"/>
        <w:jc w:val="both"/>
        <w:rPr>
          <w:rFonts w:ascii="Calibri" w:hAnsi="Calibri"/>
        </w:rPr>
      </w:pPr>
      <w:r>
        <w:rPr>
          <w:rFonts w:cs="Arial" w:ascii="Calibri" w:hAnsi="Calibri"/>
          <w:szCs w:val="20"/>
        </w:rPr>
        <w:t xml:space="preserve">Uma vez enviada a proposta no sistema, os fornecedores </w:t>
      </w:r>
      <w:r>
        <w:rPr>
          <w:rFonts w:cs="Arial" w:ascii="Calibri" w:hAnsi="Calibri"/>
          <w:b/>
          <w:bCs/>
          <w:szCs w:val="20"/>
        </w:rPr>
        <w:t xml:space="preserve">NÃO </w:t>
      </w:r>
      <w:r>
        <w:rPr>
          <w:rFonts w:cs="Arial" w:ascii="Calibri" w:hAnsi="Calibri"/>
          <w:szCs w:val="20"/>
        </w:rPr>
        <w:t>poderão retirá-la, substituí-la ou modificá-la</w:t>
      </w:r>
      <w:r>
        <w:rPr>
          <w:rFonts w:cs="Arial" w:ascii="Calibri" w:hAnsi="Calibri"/>
          <w:color w:val="000000"/>
          <w:szCs w:val="20"/>
        </w:rPr>
        <w:t>;</w:t>
      </w:r>
    </w:p>
    <w:p>
      <w:pPr>
        <w:pStyle w:val="Normal"/>
        <w:numPr>
          <w:ilvl w:val="1"/>
          <w:numId w:val="1"/>
        </w:numPr>
        <w:spacing w:lineRule="auto" w:line="276" w:before="120" w:after="120"/>
        <w:ind w:left="425" w:hanging="0"/>
        <w:jc w:val="both"/>
        <w:rPr>
          <w:rFonts w:ascii="Calibri" w:hAnsi="Calibri"/>
        </w:rPr>
      </w:pPr>
      <w:r>
        <w:rPr>
          <w:rFonts w:cs="Arial" w:ascii="Calibri" w:hAnsi="Calibri"/>
          <w:color w:val="000000"/>
          <w:szCs w:val="20"/>
        </w:rPr>
        <w:t xml:space="preserve">No cadastramento da proposta inicial, o fornecedor deverá, também, assinalar “sim” ou “não” em campo </w:t>
      </w:r>
      <w:r>
        <w:rPr>
          <w:rFonts w:cs="Arial" w:ascii="Calibri" w:hAnsi="Calibri"/>
          <w:szCs w:val="20"/>
        </w:rPr>
        <w:t>próprio</w:t>
      </w:r>
      <w:r>
        <w:rPr>
          <w:rFonts w:cs="Arial" w:ascii="Calibri" w:hAnsi="Calibri"/>
          <w:color w:val="000000"/>
          <w:szCs w:val="20"/>
        </w:rPr>
        <w:t xml:space="preserve"> do sistema eletrônico, às seguintes declarações:</w:t>
      </w:r>
    </w:p>
    <w:p>
      <w:pPr>
        <w:pStyle w:val="ListParagraph"/>
        <w:numPr>
          <w:ilvl w:val="0"/>
          <w:numId w:val="2"/>
        </w:numPr>
        <w:tabs>
          <w:tab w:val="left" w:pos="1440" w:leader="none"/>
        </w:tabs>
        <w:snapToGrid w:val="false"/>
        <w:spacing w:lineRule="auto" w:line="276" w:before="120" w:after="120"/>
        <w:jc w:val="both"/>
        <w:rPr>
          <w:rFonts w:ascii="Calibri" w:hAnsi="Calibri" w:cs="Arial"/>
          <w:bCs/>
          <w:vanish/>
          <w:color w:val="000000"/>
          <w:szCs w:val="20"/>
        </w:rPr>
      </w:pPr>
      <w:r>
        <w:rPr>
          <w:rFonts w:cs="Arial" w:ascii="Calibri" w:hAnsi="Calibri"/>
          <w:bCs/>
          <w:vanish/>
          <w:color w:val="000000"/>
          <w:szCs w:val="20"/>
        </w:rPr>
      </w:r>
    </w:p>
    <w:p>
      <w:pPr>
        <w:pStyle w:val="ListParagraph"/>
        <w:numPr>
          <w:ilvl w:val="1"/>
          <w:numId w:val="2"/>
        </w:numPr>
        <w:tabs>
          <w:tab w:val="left" w:pos="1440" w:leader="none"/>
        </w:tabs>
        <w:snapToGrid w:val="false"/>
        <w:spacing w:lineRule="auto" w:line="276" w:before="120" w:after="120"/>
        <w:jc w:val="both"/>
        <w:rPr>
          <w:rFonts w:ascii="Calibri" w:hAnsi="Calibri" w:cs="Arial"/>
          <w:bCs/>
          <w:vanish/>
          <w:color w:val="000000"/>
          <w:szCs w:val="20"/>
        </w:rPr>
      </w:pPr>
      <w:r>
        <w:rPr>
          <w:rFonts w:cs="Arial" w:ascii="Calibri" w:hAnsi="Calibri"/>
          <w:bCs/>
          <w:vanish/>
          <w:color w:val="000000"/>
          <w:szCs w:val="20"/>
        </w:rPr>
      </w:r>
    </w:p>
    <w:p>
      <w:pPr>
        <w:pStyle w:val="ListParagraph"/>
        <w:numPr>
          <w:ilvl w:val="1"/>
          <w:numId w:val="2"/>
        </w:numPr>
        <w:tabs>
          <w:tab w:val="left" w:pos="1440" w:leader="none"/>
        </w:tabs>
        <w:snapToGrid w:val="false"/>
        <w:spacing w:lineRule="auto" w:line="276" w:before="120" w:after="120"/>
        <w:jc w:val="both"/>
        <w:rPr>
          <w:rFonts w:ascii="Calibri" w:hAnsi="Calibri" w:cs="Arial"/>
          <w:bCs/>
          <w:vanish/>
          <w:color w:val="000000"/>
          <w:szCs w:val="20"/>
        </w:rPr>
      </w:pPr>
      <w:r>
        <w:rPr>
          <w:rFonts w:cs="Arial" w:ascii="Calibri" w:hAnsi="Calibri"/>
          <w:bCs/>
          <w:vanish/>
          <w:color w:val="000000"/>
          <w:szCs w:val="20"/>
        </w:rPr>
      </w:r>
    </w:p>
    <w:p>
      <w:pPr>
        <w:pStyle w:val="ListParagraph"/>
        <w:numPr>
          <w:ilvl w:val="1"/>
          <w:numId w:val="2"/>
        </w:numPr>
        <w:tabs>
          <w:tab w:val="left" w:pos="1440" w:leader="none"/>
        </w:tabs>
        <w:snapToGrid w:val="false"/>
        <w:spacing w:lineRule="auto" w:line="276" w:before="120" w:after="120"/>
        <w:jc w:val="both"/>
        <w:rPr>
          <w:rFonts w:ascii="Calibri" w:hAnsi="Calibri" w:cs="Arial"/>
          <w:bCs/>
          <w:vanish/>
          <w:color w:val="000000"/>
          <w:szCs w:val="20"/>
        </w:rPr>
      </w:pPr>
      <w:r>
        <w:rPr>
          <w:rFonts w:cs="Arial" w:ascii="Calibri" w:hAnsi="Calibri"/>
          <w:bCs/>
          <w:vanish/>
          <w:color w:val="000000"/>
          <w:szCs w:val="20"/>
        </w:rPr>
      </w:r>
    </w:p>
    <w:p>
      <w:pPr>
        <w:pStyle w:val="Normal"/>
        <w:numPr>
          <w:ilvl w:val="2"/>
          <w:numId w:val="1"/>
        </w:numPr>
        <w:spacing w:lineRule="auto" w:line="276" w:before="120" w:after="120"/>
        <w:jc w:val="both"/>
        <w:rPr>
          <w:rFonts w:ascii="Calibri" w:hAnsi="Calibri"/>
        </w:rPr>
      </w:pPr>
      <w:r>
        <w:rPr>
          <w:rFonts w:cs="Arial" w:ascii="Calibri" w:hAnsi="Calibri"/>
          <w:color w:val="000000" w:themeColor="text1"/>
          <w:szCs w:val="20"/>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ascii="Calibri" w:hAnsi="Calibri"/>
        </w:rPr>
      </w:pPr>
      <w:r>
        <w:rPr>
          <w:rFonts w:cs="Arial" w:ascii="Calibri" w:hAnsi="Calibri"/>
          <w:color w:val="000000" w:themeColor="text1"/>
          <w:szCs w:val="20"/>
        </w:rPr>
        <w:t xml:space="preserve">que </w:t>
      </w:r>
      <w:r>
        <w:rPr>
          <w:rFonts w:cs="Arial" w:ascii="Calibri" w:hAnsi="Calibri"/>
          <w:color w:val="000000"/>
          <w:szCs w:val="20"/>
        </w:rPr>
        <w:t>cumpre</w:t>
      </w:r>
      <w:r>
        <w:rPr>
          <w:rFonts w:cs="Arial" w:ascii="Calibri" w:hAnsi="Calibri"/>
          <w:color w:val="000000" w:themeColor="text1"/>
          <w:szCs w:val="20"/>
        </w:rPr>
        <w:t xml:space="preserve"> os requisitos estabelecidos no artigo 3° da Lei Complementar nº 123, de 2006, estando apto a usufruir do tratamento favorecido estabelecido em seus arts. 42 a 49.</w:t>
      </w:r>
    </w:p>
    <w:p>
      <w:pPr>
        <w:pStyle w:val="Normal"/>
        <w:numPr>
          <w:ilvl w:val="2"/>
          <w:numId w:val="1"/>
        </w:numPr>
        <w:spacing w:lineRule="auto" w:line="276" w:before="120" w:after="120"/>
        <w:jc w:val="both"/>
        <w:rPr>
          <w:rFonts w:ascii="Calibri" w:hAnsi="Calibri"/>
        </w:rPr>
      </w:pPr>
      <w:r>
        <w:rPr>
          <w:rFonts w:cs="Arial" w:ascii="Calibri" w:hAnsi="Calibri"/>
          <w:color w:val="000000" w:themeColor="text1"/>
          <w:szCs w:val="20"/>
        </w:rPr>
        <w:t>que está ciente e concorda com as condições contidas no Aviso de Contratação Direta e seus anexos;</w:t>
      </w:r>
    </w:p>
    <w:p>
      <w:pPr>
        <w:pStyle w:val="Normal"/>
        <w:numPr>
          <w:ilvl w:val="2"/>
          <w:numId w:val="1"/>
        </w:numPr>
        <w:spacing w:lineRule="auto" w:line="276" w:before="120" w:after="120"/>
        <w:jc w:val="both"/>
        <w:rPr>
          <w:rFonts w:ascii="Calibri" w:hAnsi="Calibri"/>
        </w:rPr>
      </w:pPr>
      <w:r>
        <w:rPr>
          <w:rFonts w:cs="Arial" w:ascii="Calibri" w:hAnsi="Calibri"/>
          <w:color w:val="000000" w:themeColor="text1"/>
          <w:szCs w:val="20"/>
        </w:rPr>
        <w:t>que assume a responsabilidade pelas transações que forem efetuadas no sistema, assumindo como firmes e verdadeiras;</w:t>
      </w:r>
    </w:p>
    <w:p>
      <w:pPr>
        <w:pStyle w:val="Normal"/>
        <w:numPr>
          <w:ilvl w:val="2"/>
          <w:numId w:val="1"/>
        </w:numPr>
        <w:spacing w:lineRule="auto" w:line="276" w:before="120" w:after="120"/>
        <w:jc w:val="both"/>
        <w:rPr>
          <w:rFonts w:ascii="Calibri" w:hAnsi="Calibri"/>
        </w:rPr>
      </w:pPr>
      <w:r>
        <w:rPr>
          <w:rFonts w:cs="Arial" w:ascii="Calibri" w:hAnsi="Calibri"/>
          <w:color w:val="000000" w:themeColor="text1"/>
          <w:szCs w:val="20"/>
        </w:rPr>
        <w:t>que cumpre as exigências de reserva de cargos para pessoa com deficiência e para reabilitado da Previdência Social, de que trata o art. 93 da Lei nº 8.213/91.</w:t>
      </w:r>
    </w:p>
    <w:p>
      <w:pPr>
        <w:pStyle w:val="Normal"/>
        <w:numPr>
          <w:ilvl w:val="2"/>
          <w:numId w:val="1"/>
        </w:numPr>
        <w:spacing w:lineRule="auto" w:line="276" w:before="120" w:after="120"/>
        <w:jc w:val="both"/>
        <w:rPr>
          <w:rFonts w:ascii="Calibri" w:hAnsi="Calibri"/>
        </w:rPr>
      </w:pPr>
      <w:r>
        <w:rPr>
          <w:rFonts w:cs="Arial" w:ascii="Calibri" w:hAnsi="Calibri"/>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pPr>
        <w:pStyle w:val="Normal"/>
        <w:numPr>
          <w:ilvl w:val="1"/>
          <w:numId w:val="1"/>
        </w:numPr>
        <w:spacing w:lineRule="auto" w:line="276" w:before="120" w:after="120"/>
        <w:jc w:val="both"/>
        <w:rPr>
          <w:rFonts w:ascii="Calibri" w:hAnsi="Calibri"/>
        </w:rPr>
      </w:pPr>
      <w:r>
        <w:rPr>
          <w:rFonts w:cs="Arial" w:ascii="Calibri" w:hAnsi="Calibri"/>
          <w:i w:val="false"/>
          <w:iCs w:val="false"/>
          <w:color w:val="000000"/>
          <w:szCs w:val="20"/>
        </w:rPr>
        <w:t>Fica facultado ao fornecedor, ao cadastrar sua proposta inicial, a parametrização de valor final mínimo, com o registro do seu lance final aceitável (menor preço ou maior desconto, conforme o caso).</w:t>
      </w:r>
    </w:p>
    <w:p>
      <w:pPr>
        <w:pStyle w:val="Normal"/>
        <w:numPr>
          <w:ilvl w:val="2"/>
          <w:numId w:val="1"/>
        </w:numPr>
        <w:spacing w:lineRule="auto" w:line="276" w:before="120" w:after="120"/>
        <w:jc w:val="both"/>
        <w:rPr>
          <w:rFonts w:ascii="Calibri" w:hAnsi="Calibri"/>
        </w:rPr>
      </w:pPr>
      <w:r>
        <w:rPr>
          <w:rFonts w:cs="Arial" w:ascii="Calibri" w:hAnsi="Calibri"/>
          <w:i w:val="false"/>
          <w:iCs w:val="false"/>
          <w:color w:val="000000"/>
          <w:szCs w:val="20"/>
        </w:rPr>
        <w:t xml:space="preserve">Feita essa opção os lances serão enviados automaticamente pelo sistema, respeitados os limites cadastrados pelo fornecedor e o intervalo mínimo entre lances previsto neste aviso. </w:t>
      </w:r>
    </w:p>
    <w:p>
      <w:pPr>
        <w:pStyle w:val="Normal"/>
        <w:numPr>
          <w:ilvl w:val="3"/>
          <w:numId w:val="1"/>
        </w:numPr>
        <w:spacing w:lineRule="auto" w:line="276" w:before="120" w:after="120"/>
        <w:jc w:val="both"/>
        <w:rPr>
          <w:rFonts w:ascii="Calibri" w:hAnsi="Calibri"/>
        </w:rPr>
      </w:pPr>
      <w:r>
        <w:rPr>
          <w:rFonts w:cs="Arial" w:ascii="Calibri" w:hAnsi="Calibri"/>
          <w:i w:val="false"/>
          <w:iCs w:val="false"/>
          <w:color w:val="000000"/>
          <w:szCs w:val="20"/>
        </w:rPr>
        <w:t>Sem prejuízo do disposto acima, os lances poderão ser enviados manualmente, na forma da seção respectiva deste Aviso de Contratação Direta;</w:t>
      </w:r>
    </w:p>
    <w:p>
      <w:pPr>
        <w:pStyle w:val="Normal"/>
        <w:numPr>
          <w:ilvl w:val="2"/>
          <w:numId w:val="1"/>
        </w:numPr>
        <w:spacing w:lineRule="auto" w:line="276" w:before="120" w:after="120"/>
        <w:jc w:val="both"/>
        <w:rPr>
          <w:rFonts w:ascii="Calibri" w:hAnsi="Calibri"/>
        </w:rPr>
      </w:pPr>
      <w:r>
        <w:rPr>
          <w:rFonts w:cs="Arial" w:ascii="Calibri" w:hAnsi="Calibri"/>
          <w:i w:val="false"/>
          <w:iCs w:val="false"/>
          <w:color w:val="000000"/>
          <w:szCs w:val="20"/>
        </w:rPr>
        <w:t>O valor final mínimo poderá ser alterado pelo fornecedor durante a fase de disputa, desde que não assuma valor superior a lance já registrado por ele no sistema.</w:t>
      </w:r>
    </w:p>
    <w:p>
      <w:pPr>
        <w:pStyle w:val="Normal"/>
        <w:numPr>
          <w:ilvl w:val="2"/>
          <w:numId w:val="1"/>
        </w:numPr>
        <w:spacing w:lineRule="auto" w:line="276" w:before="120" w:after="120"/>
        <w:jc w:val="both"/>
        <w:rPr>
          <w:rFonts w:ascii="Calibri" w:hAnsi="Calibri"/>
        </w:rPr>
      </w:pPr>
      <w:r>
        <w:rPr>
          <w:rFonts w:cs="Arial" w:ascii="Calibri" w:hAnsi="Calibri"/>
          <w:i w:val="false"/>
          <w:iCs w:val="false"/>
          <w:color w:val="000000"/>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pPr>
        <w:pStyle w:val="PADRO"/>
        <w:keepNext/>
        <w:widowControl/>
        <w:numPr>
          <w:ilvl w:val="0"/>
          <w:numId w:val="1"/>
        </w:numPr>
        <w:shd w:val="clear" w:color="auto" w:fill="auto"/>
        <w:spacing w:before="120" w:after="120"/>
        <w:rPr>
          <w:rFonts w:ascii="Calibri" w:hAnsi="Calibri"/>
        </w:rPr>
      </w:pPr>
      <w:r>
        <w:rPr>
          <w:rFonts w:cs="Arial" w:ascii="Calibri" w:hAnsi="Calibri"/>
          <w:b/>
        </w:rPr>
        <w:t>FASE DE LANCES</w:t>
      </w:r>
    </w:p>
    <w:p>
      <w:pPr>
        <w:pStyle w:val="ListParagraph"/>
        <w:numPr>
          <w:ilvl w:val="1"/>
          <w:numId w:val="1"/>
        </w:numPr>
        <w:spacing w:lineRule="auto" w:line="276" w:before="120" w:after="120"/>
        <w:jc w:val="both"/>
        <w:rPr>
          <w:rFonts w:ascii="Calibri" w:hAnsi="Calibri"/>
        </w:rPr>
      </w:pPr>
      <w:r>
        <w:rPr>
          <w:rFonts w:cs="Arial" w:ascii="Calibri" w:hAnsi="Calibri"/>
          <w:color w:val="000000" w:themeColor="text1"/>
          <w:szCs w:val="20"/>
          <w:lang w:eastAsia="en-US"/>
        </w:rPr>
        <w:t xml:space="preserve">A partir das 8:00h da data estabelecida neste Aviso de Contratação Direta, a sessão pública será automaticamente aberta pelo sistema para o envio de lances públicos e sucessivos, </w:t>
      </w:r>
      <w:r>
        <w:rPr>
          <w:rFonts w:cs="Arial" w:ascii="Calibri" w:hAnsi="Calibri"/>
          <w:bCs/>
          <w:szCs w:val="20"/>
          <w:lang w:eastAsia="en-US"/>
        </w:rPr>
        <w:t>exclusivamente por meio do sistema eletrônico</w:t>
      </w:r>
      <w:r>
        <w:rPr>
          <w:rFonts w:cs="Arial" w:ascii="Calibri" w:hAnsi="Calibri"/>
          <w:szCs w:val="20"/>
          <w:lang w:eastAsia="en-US"/>
        </w:rPr>
        <w:t xml:space="preserve">, </w:t>
      </w:r>
      <w:r>
        <w:rPr>
          <w:rFonts w:cs="Arial" w:ascii="Calibri" w:hAnsi="Calibri"/>
          <w:color w:val="000000" w:themeColor="text1"/>
          <w:szCs w:val="20"/>
          <w:lang w:eastAsia="en-US"/>
        </w:rPr>
        <w:t>sendo encerrado no horário de finalização de lances também já previsto neste aviso.</w:t>
      </w:r>
    </w:p>
    <w:p>
      <w:pPr>
        <w:pStyle w:val="ListParagraph"/>
        <w:numPr>
          <w:ilvl w:val="1"/>
          <w:numId w:val="1"/>
        </w:numPr>
        <w:spacing w:lineRule="auto" w:line="276" w:before="120" w:after="120"/>
        <w:jc w:val="both"/>
        <w:rPr>
          <w:rFonts w:ascii="Calibri" w:hAnsi="Calibri"/>
        </w:rPr>
      </w:pPr>
      <w:r>
        <w:rPr>
          <w:rFonts w:cs="Arial" w:ascii="Calibri" w:hAnsi="Calibri"/>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jc w:val="both"/>
        <w:rPr>
          <w:rFonts w:ascii="Calibri" w:hAnsi="Calibri"/>
        </w:rPr>
      </w:pPr>
      <w:r>
        <w:rPr>
          <w:rFonts w:cs="Arial" w:ascii="Calibri" w:hAnsi="Calibri"/>
          <w:i w:val="false"/>
          <w:iCs w:val="false"/>
          <w:color w:val="000000"/>
          <w:szCs w:val="20"/>
        </w:rPr>
        <w:t>O lance deverá ser ofertado pelo valor unitário do item.</w:t>
      </w:r>
    </w:p>
    <w:p>
      <w:pPr>
        <w:pStyle w:val="ListParagraph"/>
        <w:numPr>
          <w:ilvl w:val="1"/>
          <w:numId w:val="1"/>
        </w:numPr>
        <w:spacing w:lineRule="auto" w:line="276" w:before="120" w:after="120"/>
        <w:jc w:val="both"/>
        <w:rPr>
          <w:rFonts w:ascii="Calibri" w:hAnsi="Calibri"/>
        </w:rPr>
      </w:pPr>
      <w:r>
        <w:rPr>
          <w:rFonts w:cs="Arial" w:ascii="Calibri" w:hAnsi="Calibri"/>
          <w:color w:val="000000" w:themeColor="text1"/>
          <w:szCs w:val="20"/>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jc w:val="both"/>
        <w:rPr>
          <w:rFonts w:ascii="Calibri" w:hAnsi="Calibri"/>
        </w:rPr>
      </w:pPr>
      <w:r>
        <w:rPr>
          <w:rFonts w:cs="Arial" w:ascii="Calibri" w:hAnsi="Calibri"/>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1"/>
          <w:numId w:val="1"/>
        </w:numPr>
        <w:spacing w:lineRule="auto" w:line="276" w:before="120" w:after="120"/>
        <w:jc w:val="both"/>
        <w:rPr>
          <w:rFonts w:ascii="Calibri" w:hAnsi="Calibri"/>
        </w:rPr>
      </w:pPr>
      <w:r>
        <w:rPr>
          <w:rFonts w:cs="Arial" w:ascii="Calibri" w:hAnsi="Calibri"/>
          <w:color w:val="000000" w:themeColor="text1"/>
          <w:szCs w:val="20"/>
          <w:lang w:eastAsia="en-US"/>
        </w:rPr>
        <w:t>Havendo lances iguais ao menor já ofertado, prevalecerá aquele que for recebido e registrado primeiro no sistema.</w:t>
      </w:r>
    </w:p>
    <w:p>
      <w:pPr>
        <w:pStyle w:val="ListParagraph"/>
        <w:numPr>
          <w:ilvl w:val="1"/>
          <w:numId w:val="1"/>
        </w:numPr>
        <w:spacing w:lineRule="auto" w:line="276" w:before="120" w:after="120"/>
        <w:jc w:val="both"/>
        <w:rPr>
          <w:rFonts w:ascii="Calibri" w:hAnsi="Calibri"/>
        </w:rPr>
      </w:pPr>
      <w:r>
        <w:rPr>
          <w:rFonts w:cs="Arial" w:ascii="Calibri" w:hAnsi="Calibri"/>
          <w:color w:val="000000" w:themeColor="text1"/>
          <w:szCs w:val="20"/>
          <w:lang w:eastAsia="en-US"/>
        </w:rPr>
        <w:t>Caso o fornecedor não apresente lances, concorrerá com o valor de sua proposta.</w:t>
      </w:r>
    </w:p>
    <w:p>
      <w:pPr>
        <w:pStyle w:val="ListParagraph"/>
        <w:numPr>
          <w:ilvl w:val="1"/>
          <w:numId w:val="1"/>
        </w:numPr>
        <w:spacing w:lineRule="auto" w:line="276" w:before="120" w:after="120"/>
        <w:jc w:val="both"/>
        <w:rPr>
          <w:rFonts w:ascii="Calibri" w:hAnsi="Calibri"/>
        </w:rPr>
      </w:pPr>
      <w:r>
        <w:rPr>
          <w:rFonts w:cs="Arial" w:ascii="Calibri" w:hAnsi="Calibri"/>
          <w:color w:val="000000" w:themeColor="text1"/>
          <w:szCs w:val="20"/>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76" w:before="120" w:after="120"/>
        <w:jc w:val="both"/>
        <w:rPr>
          <w:rFonts w:ascii="Calibri" w:hAnsi="Calibri"/>
        </w:rPr>
      </w:pPr>
      <w:r>
        <w:rPr>
          <w:rFonts w:cs="Arial" w:ascii="Calibri" w:hAnsi="Calibri"/>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jc w:val="both"/>
        <w:rPr>
          <w:rFonts w:ascii="Calibri" w:hAnsi="Calibri"/>
        </w:rPr>
      </w:pPr>
      <w:r>
        <w:rPr>
          <w:rFonts w:cs="Arial" w:ascii="Calibri" w:hAnsi="Calibri"/>
          <w:color w:val="000000" w:themeColor="text1"/>
          <w:szCs w:val="20"/>
          <w:lang w:eastAsia="en-US"/>
        </w:rPr>
        <w:t>O encerramento da fase de lances ocorrerá de forma automática pontualmente no horário indicado, sem qualquer possibilidade de prorrogação enão havendo tempo aleatório ou mecanismo similar.</w:t>
      </w:r>
    </w:p>
    <w:p>
      <w:pPr>
        <w:pStyle w:val="PADRO"/>
        <w:keepNext/>
        <w:widowControl/>
        <w:numPr>
          <w:ilvl w:val="0"/>
          <w:numId w:val="1"/>
        </w:numPr>
        <w:shd w:val="clear" w:color="auto" w:fill="auto"/>
        <w:spacing w:before="120" w:after="120"/>
        <w:rPr>
          <w:rFonts w:ascii="Calibri" w:hAnsi="Calibri"/>
        </w:rPr>
      </w:pPr>
      <w:r>
        <w:rPr>
          <w:rFonts w:cs="Arial" w:ascii="Calibri" w:hAnsi="Calibri"/>
          <w:b/>
        </w:rPr>
        <w:t>JULGAMENTO DAS PROPOSTAS DE PREÇO</w:t>
      </w:r>
    </w:p>
    <w:p>
      <w:pPr>
        <w:pStyle w:val="ListParagraph"/>
        <w:numPr>
          <w:ilvl w:val="1"/>
          <w:numId w:val="1"/>
        </w:numPr>
        <w:spacing w:lineRule="auto" w:line="276" w:before="120" w:after="120"/>
        <w:jc w:val="both"/>
        <w:rPr>
          <w:rFonts w:ascii="Calibri" w:hAnsi="Calibri"/>
        </w:rPr>
      </w:pPr>
      <w:r>
        <w:rPr>
          <w:rFonts w:cs="Arial" w:ascii="Calibri" w:hAnsi="Calibri"/>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120" w:after="120"/>
        <w:jc w:val="both"/>
        <w:rPr>
          <w:rFonts w:ascii="Calibri" w:hAnsi="Calibri"/>
        </w:rPr>
      </w:pPr>
      <w:r>
        <w:rPr>
          <w:rFonts w:cs="Arial" w:ascii="Calibri" w:hAnsi="Calibri"/>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jc w:val="both"/>
        <w:rPr>
          <w:rFonts w:ascii="Calibri" w:hAnsi="Calibri"/>
        </w:rPr>
      </w:pPr>
      <w:r>
        <w:rPr>
          <w:rFonts w:cs="Arial" w:ascii="Calibri" w:hAnsi="Calibri"/>
          <w:color w:val="000000"/>
          <w:szCs w:val="20"/>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jc w:val="both"/>
        <w:rPr>
          <w:rFonts w:ascii="Calibri" w:hAnsi="Calibri"/>
        </w:rPr>
      </w:pPr>
      <w:r>
        <w:rPr>
          <w:rFonts w:cs="Arial" w:ascii="Calibri" w:hAnsi="Calibri"/>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jc w:val="both"/>
        <w:rPr>
          <w:rFonts w:ascii="Calibri" w:hAnsi="Calibri"/>
        </w:rPr>
      </w:pPr>
      <w:r>
        <w:rPr>
          <w:rFonts w:cs="Arial" w:ascii="Calibri" w:hAnsi="Calibri"/>
        </w:rPr>
        <w:t>Em qualquer caso, concluída a negociação, o resultado será registrado na ata do procedimento da dispensa eletrônica.</w:t>
      </w:r>
    </w:p>
    <w:p>
      <w:pPr>
        <w:pStyle w:val="ListParagraph"/>
        <w:numPr>
          <w:ilvl w:val="1"/>
          <w:numId w:val="1"/>
        </w:numPr>
        <w:spacing w:lineRule="auto" w:line="276" w:before="120" w:after="120"/>
        <w:jc w:val="both"/>
        <w:rPr>
          <w:rFonts w:ascii="Calibri" w:hAnsi="Calibri"/>
        </w:rPr>
      </w:pPr>
      <w:r>
        <w:rPr>
          <w:rFonts w:cs="Arial" w:ascii="Calibri" w:hAnsi="Calibri"/>
        </w:rPr>
        <w:t>Estando o preço compatível, será solicitado o envio da proposta e, se necessário, de documentos complementares, adequada ao último lance.</w:t>
      </w:r>
    </w:p>
    <w:p>
      <w:pPr>
        <w:pStyle w:val="Normal"/>
        <w:numPr>
          <w:ilvl w:val="1"/>
          <w:numId w:val="1"/>
        </w:numPr>
        <w:spacing w:lineRule="auto" w:line="276" w:before="120" w:after="120"/>
        <w:jc w:val="both"/>
        <w:rPr>
          <w:rFonts w:ascii="Calibri" w:hAnsi="Calibri"/>
        </w:rPr>
      </w:pPr>
      <w:r>
        <w:rPr>
          <w:rFonts w:cs="Arial" w:ascii="Calibri" w:hAnsi="Calibri"/>
          <w:color w:val="000000" w:themeColor="text1"/>
          <w:szCs w:val="20"/>
        </w:rPr>
        <w:t xml:space="preserve">O prazo de validade </w:t>
      </w:r>
      <w:r>
        <w:rPr>
          <w:rFonts w:cs="Arial" w:ascii="Calibri" w:hAnsi="Calibri"/>
          <w:szCs w:val="20"/>
        </w:rPr>
        <w:t>da</w:t>
      </w:r>
      <w:r>
        <w:rPr>
          <w:rFonts w:cs="Arial" w:ascii="Calibri" w:hAnsi="Calibri"/>
          <w:color w:val="000000" w:themeColor="text1"/>
          <w:szCs w:val="20"/>
        </w:rPr>
        <w:t xml:space="preserve"> proposta não será inferior a 30 (trinta) dias</w:t>
      </w:r>
      <w:r>
        <w:rPr>
          <w:rFonts w:cs="Arial" w:ascii="Calibri" w:hAnsi="Calibri"/>
          <w:b/>
          <w:bCs/>
          <w:color w:val="000000" w:themeColor="text1"/>
          <w:szCs w:val="20"/>
        </w:rPr>
        <w:t>,</w:t>
      </w:r>
      <w:r>
        <w:rPr>
          <w:rFonts w:cs="Arial" w:ascii="Calibri" w:hAnsi="Calibri"/>
          <w:color w:val="000000" w:themeColor="text1"/>
          <w:szCs w:val="20"/>
        </w:rPr>
        <w:t xml:space="preserve"> a contar da data de sua apresentação.</w:t>
      </w:r>
    </w:p>
    <w:p>
      <w:pPr>
        <w:pStyle w:val="ListParagraph"/>
        <w:numPr>
          <w:ilvl w:val="1"/>
          <w:numId w:val="1"/>
        </w:numPr>
        <w:spacing w:lineRule="auto" w:line="276" w:before="120" w:after="120"/>
        <w:jc w:val="both"/>
        <w:rPr>
          <w:rFonts w:ascii="Calibri" w:hAnsi="Calibri"/>
        </w:rPr>
      </w:pPr>
      <w:r>
        <w:rPr>
          <w:rFonts w:cs="Arial" w:ascii="Calibri" w:hAnsi="Calibri"/>
          <w:color w:val="000000" w:themeColor="text1"/>
          <w:szCs w:val="20"/>
          <w:lang w:eastAsia="en-US"/>
        </w:rPr>
        <w:t xml:space="preserve">Será desclassificada a proposta vencedora que: </w:t>
      </w:r>
    </w:p>
    <w:p>
      <w:pPr>
        <w:pStyle w:val="ListParagraph"/>
        <w:numPr>
          <w:ilvl w:val="2"/>
          <w:numId w:val="1"/>
        </w:numPr>
        <w:spacing w:lineRule="auto" w:line="276" w:before="120" w:after="120"/>
        <w:jc w:val="both"/>
        <w:rPr>
          <w:rFonts w:ascii="Calibri" w:hAnsi="Calibri"/>
        </w:rPr>
      </w:pPr>
      <w:r>
        <w:rPr>
          <w:rFonts w:cs="Arial" w:ascii="Calibri" w:hAnsi="Calibri"/>
          <w:color w:val="000000"/>
          <w:szCs w:val="20"/>
        </w:rPr>
        <w:t>contiver vícios insanáveis</w:t>
      </w:r>
      <w:r>
        <w:rPr>
          <w:rFonts w:cs="Arial" w:ascii="Calibri" w:hAnsi="Calibri"/>
          <w:iCs/>
          <w:color w:val="000000" w:themeColor="text1"/>
          <w:szCs w:val="20"/>
        </w:rPr>
        <w:t>;</w:t>
      </w:r>
    </w:p>
    <w:p>
      <w:pPr>
        <w:pStyle w:val="ListParagraph"/>
        <w:numPr>
          <w:ilvl w:val="2"/>
          <w:numId w:val="1"/>
        </w:numPr>
        <w:spacing w:lineRule="auto" w:line="276" w:before="120" w:after="120"/>
        <w:jc w:val="both"/>
        <w:rPr>
          <w:rFonts w:ascii="Calibri" w:hAnsi="Calibri"/>
        </w:rPr>
      </w:pPr>
      <w:r>
        <w:rPr>
          <w:rFonts w:cs="Arial" w:ascii="Calibri" w:hAnsi="Calibri"/>
          <w:color w:val="000000"/>
          <w:szCs w:val="20"/>
        </w:rPr>
        <w:t>não obedecer às especificações técnicas pormenorizadas neste aviso ou em seus anexos</w:t>
      </w:r>
      <w:r>
        <w:rPr>
          <w:rFonts w:cs="Arial" w:ascii="Calibri" w:hAnsi="Calibri"/>
          <w:iCs/>
          <w:color w:val="000000" w:themeColor="text1"/>
          <w:szCs w:val="20"/>
        </w:rPr>
        <w:t>;</w:t>
      </w:r>
    </w:p>
    <w:p>
      <w:pPr>
        <w:pStyle w:val="ListParagraph"/>
        <w:numPr>
          <w:ilvl w:val="2"/>
          <w:numId w:val="1"/>
        </w:numPr>
        <w:spacing w:lineRule="auto" w:line="276" w:before="120" w:after="120"/>
        <w:jc w:val="both"/>
        <w:rPr>
          <w:rFonts w:ascii="Calibri" w:hAnsi="Calibri"/>
        </w:rPr>
      </w:pPr>
      <w:r>
        <w:rPr>
          <w:rFonts w:cs="Arial" w:ascii="Calibri" w:hAnsi="Calibri"/>
          <w:color w:val="000000"/>
          <w:szCs w:val="20"/>
        </w:rPr>
        <w:t>apresentar preços inexequíveis ou permanecerem acima do preço máximo definido para a contratação;</w:t>
      </w:r>
    </w:p>
    <w:p>
      <w:pPr>
        <w:pStyle w:val="ListParagraph"/>
        <w:numPr>
          <w:ilvl w:val="2"/>
          <w:numId w:val="1"/>
        </w:numPr>
        <w:spacing w:lineRule="auto" w:line="276" w:before="120" w:after="120"/>
        <w:jc w:val="both"/>
        <w:rPr>
          <w:rFonts w:ascii="Calibri" w:hAnsi="Calibri"/>
        </w:rPr>
      </w:pPr>
      <w:r>
        <w:rPr>
          <w:rFonts w:cs="Arial" w:ascii="Calibri" w:hAnsi="Calibri"/>
          <w:color w:val="000000"/>
          <w:szCs w:val="20"/>
        </w:rPr>
        <w:t>não tiverem sua exequibilidade demonstrada, quando exigido pela Administração</w:t>
      </w:r>
      <w:r>
        <w:rPr>
          <w:rFonts w:cs="Arial" w:ascii="Calibri" w:hAnsi="Calibri"/>
          <w:iCs/>
          <w:color w:val="000000" w:themeColor="text1"/>
          <w:szCs w:val="20"/>
        </w:rPr>
        <w:t>;</w:t>
      </w:r>
    </w:p>
    <w:p>
      <w:pPr>
        <w:pStyle w:val="ListParagraph"/>
        <w:numPr>
          <w:ilvl w:val="2"/>
          <w:numId w:val="1"/>
        </w:numPr>
        <w:spacing w:lineRule="auto" w:line="276" w:before="120" w:after="120"/>
        <w:jc w:val="both"/>
        <w:rPr>
          <w:rFonts w:ascii="Calibri" w:hAnsi="Calibri"/>
        </w:rPr>
      </w:pPr>
      <w:r>
        <w:rPr>
          <w:rFonts w:cs="Arial" w:ascii="Calibri" w:hAnsi="Calibri"/>
          <w:color w:val="000000"/>
          <w:szCs w:val="20"/>
        </w:rPr>
        <w:t>apresentar desconformidade com quaisquer outras exigências deste aviso ou seus anexos, desde que insanável.</w:t>
      </w:r>
    </w:p>
    <w:p>
      <w:pPr>
        <w:pStyle w:val="ListParagraph"/>
        <w:numPr>
          <w:ilvl w:val="1"/>
          <w:numId w:val="1"/>
        </w:numPr>
        <w:spacing w:lineRule="auto" w:line="276" w:before="120" w:after="120"/>
        <w:jc w:val="both"/>
        <w:rPr>
          <w:rFonts w:ascii="Calibri" w:hAnsi="Calibri"/>
        </w:rPr>
      </w:pPr>
      <w:r>
        <w:rPr>
          <w:rFonts w:cs="Arial" w:ascii="Calibri" w:hAnsi="Calibri"/>
          <w:color w:val="000000" w:themeColor="text1"/>
          <w:szCs w:val="20"/>
          <w:lang w:eastAsia="en-US"/>
        </w:rPr>
        <w:t>Quando</w:t>
      </w:r>
      <w:r>
        <w:rPr>
          <w:rFonts w:cs="Arial" w:ascii="Calibri" w:hAnsi="Calibri"/>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jc w:val="both"/>
        <w:rPr>
          <w:rFonts w:ascii="Calibri" w:hAnsi="Calibri"/>
        </w:rPr>
      </w:pPr>
      <w:r>
        <w:rPr>
          <w:rFonts w:cs="Arial" w:ascii="Calibri" w:hAnsi="Calibri"/>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jc w:val="both"/>
        <w:rPr>
          <w:rFonts w:ascii="Calibri" w:hAnsi="Calibri"/>
        </w:rPr>
      </w:pPr>
      <w:r>
        <w:rPr>
          <w:rFonts w:cs="Arial" w:ascii="Calibri" w:hAnsi="Calibri"/>
          <w:szCs w:val="20"/>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792" w:right="-15" w:hanging="432"/>
        <w:jc w:val="both"/>
        <w:rPr>
          <w:rFonts w:ascii="Calibri" w:hAnsi="Calibri"/>
        </w:rPr>
      </w:pPr>
      <w:r>
        <w:rPr>
          <w:rFonts w:cs="Arial" w:ascii="Calibri" w:hAnsi="Calibri"/>
          <w:color w:val="000000" w:themeColor="text1"/>
          <w:szCs w:val="20"/>
          <w:lang w:eastAsia="en-US"/>
        </w:rPr>
        <w:t xml:space="preserve">Se houver indícios de inexequibilidade da proposta de preço, ou em caso da necessidade de esclarecimentos </w:t>
      </w:r>
      <w:r>
        <w:rPr>
          <w:rFonts w:cs="Arial" w:ascii="Calibri" w:hAnsi="Calibri"/>
          <w:szCs w:val="20"/>
        </w:rPr>
        <w:t>complementares</w:t>
      </w:r>
      <w:r>
        <w:rPr>
          <w:rFonts w:cs="Arial" w:ascii="Calibri" w:hAnsi="Calibri"/>
          <w:color w:val="000000" w:themeColor="text1"/>
          <w:szCs w:val="20"/>
          <w:lang w:eastAsia="en-US"/>
        </w:rPr>
        <w:t xml:space="preserve">, poderão ser efetuadas diligências, para que a empresa comprove a exequibilidade da proposta.  </w:t>
      </w:r>
    </w:p>
    <w:p>
      <w:pPr>
        <w:pStyle w:val="ListParagraph"/>
        <w:numPr>
          <w:ilvl w:val="1"/>
          <w:numId w:val="1"/>
        </w:numPr>
        <w:spacing w:lineRule="auto" w:line="276" w:before="120" w:after="120"/>
        <w:jc w:val="both"/>
        <w:rPr>
          <w:rFonts w:ascii="Calibri" w:hAnsi="Calibri"/>
        </w:rPr>
      </w:pPr>
      <w:r>
        <w:rPr>
          <w:rFonts w:cs="Arial" w:ascii="Calibri" w:hAnsi="Calibri"/>
          <w:color w:val="000000" w:themeColor="text1"/>
          <w:szCs w:val="20"/>
          <w:lang w:eastAsia="en-US"/>
        </w:rPr>
        <w:t xml:space="preserve">Erros no preenchimento da planilha não constituem motivo para a desclassificação da proposta. A planilha </w:t>
      </w:r>
      <w:r>
        <w:rPr>
          <w:rFonts w:cs="Arial" w:ascii="Calibri" w:hAnsi="Calibri"/>
          <w:szCs w:val="20"/>
        </w:rPr>
        <w:t>poderá</w:t>
      </w:r>
      <w:r>
        <w:rPr>
          <w:rFonts w:cs="Arial" w:ascii="Calibri" w:hAnsi="Calibri"/>
          <w:color w:val="000000" w:themeColor="text1"/>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jc w:val="both"/>
        <w:rPr>
          <w:rFonts w:ascii="Calibri" w:hAnsi="Calibri"/>
        </w:rPr>
      </w:pPr>
      <w:r>
        <w:rPr>
          <w:rFonts w:cs="Arial" w:ascii="Calibri" w:hAnsi="Calibri"/>
          <w:color w:val="000000" w:themeColor="text1"/>
          <w:szCs w:val="20"/>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jc w:val="both"/>
        <w:rPr>
          <w:rFonts w:ascii="Calibri" w:hAnsi="Calibri"/>
        </w:rPr>
      </w:pPr>
      <w:r>
        <w:rPr>
          <w:rFonts w:cs="Arial" w:ascii="Calibri" w:hAnsi="Calibri"/>
          <w:color w:val="000000" w:themeColor="text1"/>
          <w:szCs w:val="20"/>
          <w:lang w:eastAsia="en-US"/>
        </w:rPr>
        <w:t>Considera-se erro no preenchimento da planilha passível de correção a indicação de recolhimento de impostos e contribuições na forma do Simples Nacional, quando não cabível esse regime.</w:t>
      </w:r>
    </w:p>
    <w:p>
      <w:pPr>
        <w:pStyle w:val="ListParagraph"/>
        <w:numPr>
          <w:ilvl w:val="1"/>
          <w:numId w:val="1"/>
        </w:numPr>
        <w:spacing w:lineRule="auto" w:line="276" w:before="120" w:after="120"/>
        <w:jc w:val="both"/>
        <w:rPr>
          <w:rFonts w:ascii="Calibri" w:hAnsi="Calibri"/>
        </w:rPr>
      </w:pPr>
      <w:r>
        <w:rPr>
          <w:rFonts w:cs="Arial" w:ascii="Calibri" w:hAnsi="Calibri"/>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jc w:val="both"/>
        <w:rPr>
          <w:rFonts w:ascii="Calibri" w:hAnsi="Calibri"/>
        </w:rPr>
      </w:pPr>
      <w:r>
        <w:rPr>
          <w:rFonts w:cs="Arial" w:ascii="Calibri" w:hAnsi="Calibri"/>
          <w:color w:val="000000" w:themeColor="text1"/>
          <w:szCs w:val="20"/>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jc w:val="both"/>
        <w:rPr>
          <w:rFonts w:ascii="Calibri" w:hAnsi="Calibri"/>
        </w:rPr>
      </w:pPr>
      <w:r>
        <w:rPr>
          <w:rFonts w:cs="Arial" w:ascii="Calibri" w:hAnsi="Calibri"/>
          <w:color w:val="000000" w:themeColor="text1"/>
          <w:szCs w:val="20"/>
          <w:lang w:eastAsia="en-US"/>
        </w:rPr>
        <w:t>Havendo necessidade, a sessão será suspensa, informando-se no “chat” a nova data e horário para a sua continuidade.</w:t>
      </w:r>
    </w:p>
    <w:p>
      <w:pPr>
        <w:pStyle w:val="ListParagraph"/>
        <w:numPr>
          <w:ilvl w:val="1"/>
          <w:numId w:val="1"/>
        </w:numPr>
        <w:spacing w:lineRule="auto" w:line="276" w:before="120" w:after="120"/>
        <w:jc w:val="both"/>
        <w:rPr>
          <w:rFonts w:ascii="Calibri" w:hAnsi="Calibri"/>
        </w:rPr>
      </w:pPr>
      <w:r>
        <w:rPr>
          <w:rFonts w:cs="Arial" w:ascii="Calibri" w:hAnsi="Calibri"/>
          <w:color w:val="000000" w:themeColor="text1"/>
          <w:szCs w:val="20"/>
          <w:lang w:eastAsia="en-US"/>
        </w:rPr>
        <w:t>Encerrada a análise quanto à aceitação da proposta, se iniciará a fase de habilitação, observado o disposto neste Aviso de Contratação Direta. </w:t>
      </w:r>
    </w:p>
    <w:p>
      <w:pPr>
        <w:pStyle w:val="PADRO"/>
        <w:keepNext/>
        <w:widowControl/>
        <w:numPr>
          <w:ilvl w:val="0"/>
          <w:numId w:val="1"/>
        </w:numPr>
        <w:shd w:val="clear" w:color="auto" w:fill="auto"/>
        <w:spacing w:before="120" w:after="120"/>
        <w:rPr>
          <w:rFonts w:ascii="Calibri" w:hAnsi="Calibri"/>
        </w:rPr>
      </w:pPr>
      <w:r>
        <w:rPr>
          <w:rFonts w:cs="Arial" w:ascii="Calibri" w:hAnsi="Calibri"/>
          <w:b/>
        </w:rPr>
        <w:t>HABILITAÇÃO</w:t>
      </w:r>
    </w:p>
    <w:p>
      <w:pPr>
        <w:pStyle w:val="ListParagraph"/>
        <w:numPr>
          <w:ilvl w:val="1"/>
          <w:numId w:val="1"/>
        </w:numPr>
        <w:spacing w:lineRule="auto" w:line="276" w:before="120" w:after="120"/>
        <w:ind w:left="792" w:hanging="574"/>
        <w:jc w:val="both"/>
        <w:rPr>
          <w:rFonts w:ascii="Calibri" w:hAnsi="Calibri"/>
        </w:rPr>
      </w:pPr>
      <w:r>
        <w:rPr>
          <w:rFonts w:cs="Arial" w:ascii="Calibri" w:hAnsi="Calibri"/>
          <w:szCs w:val="20"/>
          <w:lang w:eastAsia="ar-SA"/>
        </w:rPr>
        <w:t xml:space="preserve">Os </w:t>
      </w:r>
      <w:r>
        <w:rPr>
          <w:rFonts w:cs="Arial" w:ascii="Calibri" w:hAnsi="Calibri"/>
          <w:color w:val="000000"/>
          <w:szCs w:val="20"/>
        </w:rPr>
        <w:t>documentos</w:t>
      </w:r>
      <w:r>
        <w:rPr>
          <w:rFonts w:cs="Arial" w:ascii="Calibri" w:hAnsi="Calibri"/>
          <w:szCs w:val="20"/>
          <w:lang w:eastAsia="ar-SA"/>
        </w:rPr>
        <w:t xml:space="preserve"> a serem exigidos para fins de habilitação constam do </w:t>
      </w:r>
      <w:r>
        <w:rPr>
          <w:rFonts w:cs="Arial" w:ascii="Calibri" w:hAnsi="Calibri"/>
          <w:b/>
          <w:szCs w:val="20"/>
          <w:lang w:eastAsia="ar-SA"/>
        </w:rPr>
        <w:t xml:space="preserve">ANEXO I – DOCUMENTAÇÃO EXIGIDA PARA HABILITAÇÃO </w:t>
      </w:r>
      <w:r>
        <w:rPr>
          <w:rFonts w:cs="Arial" w:ascii="Calibri" w:hAnsi="Calibri"/>
          <w:szCs w:val="20"/>
          <w:lang w:eastAsia="ar-SA"/>
        </w:rPr>
        <w:t>deste aviso e serão solicitados do fornecedor mais bem classificado da fase de lances.</w:t>
      </w:r>
    </w:p>
    <w:p>
      <w:pPr>
        <w:pStyle w:val="ListParagraph"/>
        <w:numPr>
          <w:ilvl w:val="1"/>
          <w:numId w:val="1"/>
        </w:numPr>
        <w:spacing w:lineRule="auto" w:line="276" w:before="120" w:after="120"/>
        <w:ind w:left="792" w:hanging="574"/>
        <w:jc w:val="both"/>
        <w:rPr>
          <w:rFonts w:ascii="Calibri" w:hAnsi="Calibri"/>
        </w:rPr>
      </w:pPr>
      <w:r>
        <w:rPr>
          <w:rFonts w:cs="Arial" w:ascii="Calibri" w:hAnsi="Calibri"/>
          <w:szCs w:val="20"/>
          <w:lang w:eastAsia="ar-SA"/>
        </w:rPr>
        <w:t xml:space="preserve">Como </w:t>
      </w:r>
      <w:r>
        <w:rPr>
          <w:rFonts w:cs="Arial" w:ascii="Calibri" w:hAnsi="Calibri"/>
          <w:color w:val="000000"/>
          <w:szCs w:val="20"/>
        </w:rPr>
        <w:t>condição</w:t>
      </w:r>
      <w:r>
        <w:rPr>
          <w:rFonts w:cs="Arial" w:ascii="Calibri" w:hAnsi="Calibri"/>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left="1134" w:hanging="0"/>
        <w:jc w:val="both"/>
        <w:rPr>
          <w:rFonts w:ascii="Calibri" w:hAnsi="Calibri"/>
        </w:rPr>
      </w:pPr>
      <w:r>
        <w:rPr>
          <w:rFonts w:cs="Arial" w:ascii="Calibri" w:hAnsi="Calibri"/>
          <w:szCs w:val="20"/>
          <w:lang w:eastAsia="ar-SA"/>
        </w:rPr>
        <w:t xml:space="preserve">a) SICAF;  </w:t>
      </w:r>
    </w:p>
    <w:p>
      <w:pPr>
        <w:pStyle w:val="ListParagraph"/>
        <w:spacing w:lineRule="auto" w:line="276" w:before="120" w:after="120"/>
        <w:ind w:left="1134" w:hanging="0"/>
        <w:jc w:val="both"/>
        <w:rPr/>
      </w:pPr>
      <w:r>
        <w:rPr>
          <w:rFonts w:cs="Arial" w:ascii="Calibri" w:hAnsi="Calibri"/>
          <w:szCs w:val="20"/>
          <w:lang w:eastAsia="ar-SA"/>
        </w:rPr>
        <w:t>b) Cadastro Nacional de Empresas Inidôneas e Suspensas - CEIS, mantido pela Controladoria-Geral da União (</w:t>
      </w:r>
      <w:hyperlink r:id="rId3">
        <w:r>
          <w:rPr>
            <w:rStyle w:val="LinkdaInternet"/>
            <w:rFonts w:eastAsia="Calibri" w:cs="Arial" w:ascii="Calibri" w:hAnsi="Calibri"/>
            <w:lang w:eastAsia="ar-SA"/>
          </w:rPr>
          <w:t>www.portaldatransparencia.gov.br/ceis</w:t>
        </w:r>
      </w:hyperlink>
      <w:r>
        <w:rPr>
          <w:rFonts w:cs="Arial" w:ascii="Calibri" w:hAnsi="Calibri"/>
          <w:szCs w:val="20"/>
          <w:lang w:eastAsia="ar-SA"/>
        </w:rPr>
        <w:t xml:space="preserve">);  </w:t>
      </w:r>
    </w:p>
    <w:p>
      <w:pPr>
        <w:pStyle w:val="ListParagraph"/>
        <w:spacing w:lineRule="auto" w:line="276" w:before="120" w:after="120"/>
        <w:ind w:left="1134" w:hanging="0"/>
        <w:jc w:val="both"/>
        <w:rPr/>
      </w:pPr>
      <w:r>
        <w:rPr>
          <w:rFonts w:cs="Arial" w:ascii="Calibri" w:hAnsi="Calibri"/>
          <w:szCs w:val="20"/>
          <w:lang w:eastAsia="ar-SA"/>
        </w:rPr>
        <w:t>c) Cadastro Nacional de Condenações Cíveis por Atos de Improbidade Administrativa, mantido pelo Conselho Nacional de Justiça (</w:t>
      </w:r>
      <w:hyperlink r:id="rId4">
        <w:r>
          <w:rPr>
            <w:rStyle w:val="LinkdaInternet"/>
            <w:rFonts w:eastAsia="Calibri" w:cs="Arial" w:ascii="Calibri" w:hAnsi="Calibri"/>
            <w:lang w:eastAsia="ar-SA"/>
          </w:rPr>
          <w:t>www.cnj.jus.br/improbidade_adm/consultar_requerido.php</w:t>
        </w:r>
      </w:hyperlink>
      <w:r>
        <w:rPr>
          <w:rFonts w:cs="Arial" w:ascii="Calibri" w:hAnsi="Calibri"/>
          <w:szCs w:val="20"/>
          <w:lang w:eastAsia="ar-SA"/>
        </w:rPr>
        <w:t xml:space="preserve">).  </w:t>
      </w:r>
    </w:p>
    <w:p>
      <w:pPr>
        <w:pStyle w:val="ListParagraph"/>
        <w:spacing w:lineRule="auto" w:line="276" w:before="120" w:after="120"/>
        <w:ind w:left="1134" w:hanging="0"/>
        <w:jc w:val="both"/>
        <w:rPr>
          <w:rFonts w:ascii="Calibri" w:hAnsi="Calibri"/>
        </w:rPr>
      </w:pPr>
      <w:r>
        <w:rPr>
          <w:rFonts w:cs="Arial" w:ascii="Calibri" w:hAnsi="Calibri"/>
          <w:szCs w:val="20"/>
          <w:lang w:eastAsia="ar-SA"/>
        </w:rPr>
        <w:t xml:space="preserve">d) Lista de Inidôneos mantida pelo Tribunal de Contas da União - TCU; </w:t>
      </w:r>
    </w:p>
    <w:p>
      <w:pPr>
        <w:pStyle w:val="ListParagraph"/>
        <w:numPr>
          <w:ilvl w:val="2"/>
          <w:numId w:val="1"/>
        </w:numPr>
        <w:spacing w:lineRule="auto" w:line="276" w:before="120" w:after="120"/>
        <w:jc w:val="both"/>
        <w:rPr>
          <w:rFonts w:ascii="Calibri" w:hAnsi="Calibri"/>
        </w:rPr>
      </w:pPr>
      <w:r>
        <w:rPr>
          <w:rFonts w:cs="Arial" w:ascii="Calibri" w:hAnsi="Calibri"/>
          <w:szCs w:val="20"/>
          <w:lang w:eastAsia="ar-SA"/>
        </w:rPr>
        <w:t xml:space="preserve">Para a consulta de </w:t>
      </w:r>
      <w:r>
        <w:rPr>
          <w:rFonts w:cs="Arial" w:ascii="Calibri" w:hAnsi="Calibri"/>
          <w:color w:val="000000" w:themeColor="text1"/>
          <w:szCs w:val="20"/>
        </w:rPr>
        <w:t>fornecedores</w:t>
      </w:r>
      <w:r>
        <w:rPr>
          <w:rFonts w:cs="Arial" w:ascii="Calibri" w:hAnsi="Calibri"/>
          <w:szCs w:val="20"/>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120" w:after="120"/>
        <w:jc w:val="both"/>
        <w:rPr>
          <w:rFonts w:ascii="Calibri" w:hAnsi="Calibri"/>
        </w:rPr>
      </w:pPr>
      <w:r>
        <w:rPr>
          <w:rFonts w:cs="Arial" w:ascii="Calibri" w:hAnsi="Calibri"/>
          <w:color w:val="000000" w:themeColor="text1"/>
          <w:szCs w:val="20"/>
        </w:rPr>
        <w:t xml:space="preserve">A consulta aos </w:t>
      </w:r>
      <w:r>
        <w:rPr>
          <w:rFonts w:cs="Arial" w:ascii="Calibri" w:hAnsi="Calibri"/>
          <w:szCs w:val="20"/>
          <w:lang w:eastAsia="ar-SA"/>
        </w:rPr>
        <w:t>cadastros</w:t>
      </w:r>
      <w:r>
        <w:rPr>
          <w:rFonts w:cs="Arial" w:ascii="Calibri" w:hAnsi="Calibri"/>
          <w:color w:val="000000" w:themeColor="text1"/>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jc w:val="both"/>
        <w:rPr>
          <w:rFonts w:ascii="Calibri" w:hAnsi="Calibri"/>
        </w:rPr>
      </w:pPr>
      <w:r>
        <w:rPr>
          <w:rFonts w:cs="Arial" w:ascii="Calibri" w:hAnsi="Calibri"/>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jc w:val="both"/>
        <w:rPr>
          <w:rFonts w:ascii="Calibri" w:hAnsi="Calibri"/>
        </w:rPr>
      </w:pPr>
      <w:r>
        <w:rPr>
          <w:rFonts w:cs="Arial" w:ascii="Calibri" w:hAnsi="Calibri"/>
          <w:color w:val="000000" w:themeColor="text1"/>
          <w:szCs w:val="20"/>
        </w:rPr>
        <w:t>A tentativa de burla será verificada por meio dos vínculos societários, linhas de fornecimento similares, dentre outros.</w:t>
      </w:r>
    </w:p>
    <w:p>
      <w:pPr>
        <w:pStyle w:val="ListParagraph"/>
        <w:numPr>
          <w:ilvl w:val="4"/>
          <w:numId w:val="1"/>
        </w:numPr>
        <w:spacing w:lineRule="auto" w:line="276" w:before="120" w:after="120"/>
        <w:jc w:val="both"/>
        <w:rPr>
          <w:rFonts w:ascii="Calibri" w:hAnsi="Calibri"/>
        </w:rPr>
      </w:pPr>
      <w:r>
        <w:rPr>
          <w:rFonts w:cs="Arial" w:ascii="Calibri" w:hAnsi="Calibri"/>
          <w:color w:val="000000" w:themeColor="text1"/>
          <w:szCs w:val="20"/>
        </w:rPr>
        <w:t>O fornecedor será convocado para manifestação previamente à sua desclassificação</w:t>
      </w:r>
    </w:p>
    <w:p>
      <w:pPr>
        <w:pStyle w:val="ListParagraph"/>
        <w:numPr>
          <w:ilvl w:val="2"/>
          <w:numId w:val="1"/>
        </w:numPr>
        <w:spacing w:lineRule="auto" w:line="276" w:before="120" w:after="120"/>
        <w:jc w:val="both"/>
        <w:rPr>
          <w:rFonts w:ascii="Calibri" w:hAnsi="Calibri"/>
        </w:rPr>
      </w:pPr>
      <w:r>
        <w:rPr>
          <w:rFonts w:cs="Arial" w:ascii="Calibri" w:hAnsi="Calibri"/>
          <w:color w:val="000000" w:themeColor="text1"/>
          <w:szCs w:val="20"/>
        </w:rPr>
        <w:t>Constatada a existência de sanção, o fornecedor será reputado inabilitado, por falta de condição de participação.</w:t>
      </w:r>
    </w:p>
    <w:p>
      <w:pPr>
        <w:pStyle w:val="ListParagraph"/>
        <w:numPr>
          <w:ilvl w:val="1"/>
          <w:numId w:val="1"/>
        </w:numPr>
        <w:spacing w:lineRule="auto" w:line="276" w:before="120" w:after="120"/>
        <w:ind w:left="792" w:hanging="574"/>
        <w:jc w:val="both"/>
        <w:rPr>
          <w:rFonts w:ascii="Calibri" w:hAnsi="Calibri"/>
        </w:rPr>
      </w:pPr>
      <w:r>
        <w:rPr>
          <w:rFonts w:cs="Arial" w:ascii="Calibri" w:hAnsi="Calibri"/>
          <w:color w:val="000000" w:themeColor="text1"/>
          <w:szCs w:val="20"/>
        </w:rPr>
        <w:t xml:space="preserve">Caso atendidas as condições de participação, </w:t>
      </w:r>
      <w:r>
        <w:rPr>
          <w:rFonts w:cs="Arial" w:ascii="Calibri" w:hAnsi="Calibri"/>
          <w:szCs w:val="20"/>
        </w:rPr>
        <w:t>a habilitação dos fornecedores será verificada por meio do SICAF, nos documentos por ele abrangidos</w:t>
      </w:r>
      <w:r>
        <w:rPr>
          <w:rFonts w:cs="Arial" w:ascii="Calibri" w:hAnsi="Calibri"/>
          <w:color w:val="000000" w:themeColor="text1"/>
          <w:szCs w:val="20"/>
        </w:rPr>
        <w:t>.</w:t>
      </w:r>
    </w:p>
    <w:p>
      <w:pPr>
        <w:pStyle w:val="ListParagraph"/>
        <w:numPr>
          <w:ilvl w:val="2"/>
          <w:numId w:val="1"/>
        </w:numPr>
        <w:spacing w:lineRule="auto" w:line="276" w:before="120" w:after="120"/>
        <w:jc w:val="both"/>
        <w:rPr>
          <w:rFonts w:ascii="Calibri" w:hAnsi="Calibri"/>
        </w:rPr>
      </w:pPr>
      <w:r>
        <w:rPr>
          <w:rFonts w:cs="Arial" w:ascii="Calibri" w:hAnsi="Calibri"/>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jc w:val="both"/>
        <w:rPr>
          <w:rFonts w:ascii="Calibri" w:hAnsi="Calibri"/>
        </w:rPr>
      </w:pPr>
      <w:r>
        <w:rPr>
          <w:rFonts w:cs="Arial" w:ascii="Calibri" w:hAnsi="Calibri"/>
          <w:color w:val="000000" w:themeColor="text1"/>
          <w:szCs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left="792" w:hanging="574"/>
        <w:jc w:val="both"/>
        <w:rPr>
          <w:rFonts w:ascii="Calibri" w:hAnsi="Calibri"/>
        </w:rPr>
      </w:pPr>
      <w:r>
        <w:rPr>
          <w:rFonts w:cs="Arial" w:ascii="Calibri" w:hAnsi="Calibri"/>
          <w:color w:val="000000" w:themeColor="text1"/>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left="792" w:hanging="574"/>
        <w:jc w:val="both"/>
        <w:rPr>
          <w:rFonts w:ascii="Calibri" w:hAnsi="Calibri"/>
        </w:rPr>
      </w:pPr>
      <w:r>
        <w:rPr>
          <w:rFonts w:cs="Arial" w:ascii="Calibri" w:hAnsi="Calibri"/>
          <w:color w:val="000000" w:themeColor="text1"/>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left="792" w:hanging="574"/>
        <w:jc w:val="both"/>
        <w:rPr>
          <w:rFonts w:ascii="Calibri" w:hAnsi="Calibri"/>
        </w:rPr>
      </w:pPr>
      <w:r>
        <w:rPr>
          <w:rFonts w:cs="Arial" w:ascii="Calibri" w:hAnsi="Calibri"/>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120" w:after="120"/>
        <w:ind w:left="792" w:hanging="574"/>
        <w:jc w:val="both"/>
        <w:rPr>
          <w:rFonts w:ascii="Calibri" w:hAnsi="Calibri"/>
        </w:rPr>
      </w:pPr>
      <w:r>
        <w:rPr>
          <w:rFonts w:cs="Arial" w:ascii="Calibri" w:hAnsi="Calibri"/>
          <w:bCs/>
          <w:szCs w:val="20"/>
        </w:rPr>
        <w:t xml:space="preserve">Havendo </w:t>
      </w:r>
      <w:r>
        <w:rPr>
          <w:rFonts w:cs="Arial" w:ascii="Calibri" w:hAnsi="Calibri"/>
          <w:iCs/>
          <w:lang w:eastAsia="en-US"/>
        </w:rPr>
        <w:t>necessidade</w:t>
      </w:r>
      <w:r>
        <w:rPr>
          <w:rFonts w:cs="Arial" w:ascii="Calibri" w:hAnsi="Calibri"/>
          <w:bCs/>
          <w:szCs w:val="20"/>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left="792" w:hanging="574"/>
        <w:jc w:val="both"/>
        <w:rPr>
          <w:rFonts w:ascii="Calibri" w:hAnsi="Calibri"/>
        </w:rPr>
      </w:pPr>
      <w:r>
        <w:rPr>
          <w:rFonts w:cs="Arial" w:ascii="Calibri" w:hAnsi="Calibri"/>
          <w:color w:val="000000"/>
          <w:szCs w:val="20"/>
        </w:rPr>
        <w:t xml:space="preserve">Será inabilitado o fornecedor que não comprovar sua habilitação, seja por não apresentar </w:t>
      </w:r>
      <w:r>
        <w:rPr>
          <w:rFonts w:cs="Arial" w:ascii="Calibri" w:hAnsi="Calibri"/>
          <w:iCs/>
          <w:lang w:eastAsia="en-US"/>
        </w:rPr>
        <w:t>quaisquer</w:t>
      </w:r>
      <w:r>
        <w:rPr>
          <w:rFonts w:cs="Arial" w:ascii="Calibri" w:hAnsi="Calibri"/>
          <w:color w:val="000000"/>
          <w:szCs w:val="20"/>
        </w:rPr>
        <w:t xml:space="preserve"> dos </w:t>
      </w:r>
      <w:r>
        <w:rPr>
          <w:rFonts w:cs="Arial" w:ascii="Calibri" w:hAnsi="Calibri"/>
          <w:bCs/>
          <w:szCs w:val="20"/>
        </w:rPr>
        <w:t>documentos</w:t>
      </w:r>
      <w:r>
        <w:rPr>
          <w:rFonts w:cs="Arial" w:ascii="Calibri" w:hAnsi="Calibri"/>
          <w:color w:val="000000"/>
          <w:szCs w:val="20"/>
        </w:rPr>
        <w:t xml:space="preserve"> exigidos, ou apresentá-los em desacordo com o estabelecido neste Aviso de Contratação Direta.</w:t>
      </w:r>
    </w:p>
    <w:p>
      <w:pPr>
        <w:pStyle w:val="ListParagraph"/>
        <w:numPr>
          <w:ilvl w:val="2"/>
          <w:numId w:val="1"/>
        </w:numPr>
        <w:spacing w:lineRule="auto" w:line="276" w:before="120" w:after="120"/>
        <w:jc w:val="both"/>
        <w:rPr>
          <w:rFonts w:ascii="Calibri" w:hAnsi="Calibri"/>
        </w:rPr>
      </w:pPr>
      <w:r>
        <w:rPr>
          <w:rFonts w:cs="Arial" w:ascii="Calibri" w:hAnsi="Calibri"/>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left="792" w:hanging="574"/>
        <w:jc w:val="both"/>
        <w:rPr>
          <w:rFonts w:ascii="Calibri" w:hAnsi="Calibri"/>
        </w:rPr>
      </w:pPr>
      <w:r>
        <w:rPr>
          <w:rFonts w:cs="Arial" w:ascii="Calibri" w:hAnsi="Calibri"/>
          <w:iCs/>
          <w:lang w:eastAsia="en-US"/>
        </w:rPr>
        <w:t>Constatado o atendimento às exigências de habilitação, o fornecedor será habilitado</w:t>
      </w:r>
    </w:p>
    <w:p>
      <w:pPr>
        <w:pStyle w:val="PADRO"/>
        <w:keepNext/>
        <w:widowControl/>
        <w:numPr>
          <w:ilvl w:val="0"/>
          <w:numId w:val="1"/>
        </w:numPr>
        <w:shd w:val="clear" w:color="auto" w:fill="auto"/>
        <w:spacing w:before="120" w:after="120"/>
        <w:rPr>
          <w:rFonts w:ascii="Calibri" w:hAnsi="Calibri"/>
        </w:rPr>
      </w:pPr>
      <w:r>
        <w:rPr>
          <w:rFonts w:cs="Arial" w:ascii="Calibri" w:hAnsi="Calibri"/>
          <w:b/>
        </w:rPr>
        <w:t>CONTRATAÇÃO</w:t>
      </w:r>
    </w:p>
    <w:p>
      <w:pPr>
        <w:pStyle w:val="Normal"/>
        <w:numPr>
          <w:ilvl w:val="1"/>
          <w:numId w:val="1"/>
        </w:numPr>
        <w:spacing w:lineRule="auto" w:line="276" w:before="120" w:after="120"/>
        <w:ind w:left="425" w:hanging="0"/>
        <w:jc w:val="both"/>
        <w:rPr>
          <w:rFonts w:ascii="Calibri" w:hAnsi="Calibri"/>
        </w:rPr>
      </w:pPr>
      <w:r>
        <w:rPr>
          <w:rFonts w:eastAsia="Arial" w:cs="Arial" w:ascii="Calibri" w:hAnsi="Calibri"/>
          <w:color w:val="000000"/>
          <w:szCs w:val="20"/>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left="425" w:hanging="0"/>
        <w:jc w:val="both"/>
        <w:rPr>
          <w:rFonts w:ascii="Calibri" w:hAnsi="Calibri"/>
        </w:rPr>
      </w:pPr>
      <w:r>
        <w:rPr>
          <w:rFonts w:eastAsia="Arial" w:cs="Arial" w:ascii="Calibri" w:hAnsi="Calibri"/>
          <w:color w:val="000000"/>
          <w:szCs w:val="20"/>
        </w:rPr>
        <w:t xml:space="preserve">O adjudicatário terá o prazo de 3 (três) dias úteis, contados a partir da data de sua convocação, para assinar o Termo de Contrato ou aceitar instrumento equivalente, conforme o caso (Nota de Empenho), sob pena de decair do direito à contratação, sem prejuízo das sanções previstas neste Aviso de Contratação Direta. </w:t>
      </w:r>
    </w:p>
    <w:p>
      <w:pPr>
        <w:pStyle w:val="Normal"/>
        <w:numPr>
          <w:ilvl w:val="2"/>
          <w:numId w:val="1"/>
        </w:numPr>
        <w:spacing w:lineRule="auto" w:line="276" w:before="120" w:after="120"/>
        <w:jc w:val="both"/>
        <w:rPr>
          <w:rFonts w:ascii="Calibri" w:hAnsi="Calibri"/>
        </w:rPr>
      </w:pPr>
      <w:r>
        <w:rPr>
          <w:rFonts w:eastAsia="Arial" w:cs="Arial" w:ascii="Calibri" w:hAnsi="Calibri"/>
          <w:i w:val="false"/>
          <w:iCs w:val="false"/>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3 (três) dias, a contar da data de seu recebimento. </w:t>
      </w:r>
    </w:p>
    <w:p>
      <w:pPr>
        <w:pStyle w:val="Normal"/>
        <w:numPr>
          <w:ilvl w:val="2"/>
          <w:numId w:val="1"/>
        </w:numPr>
        <w:spacing w:lineRule="auto" w:line="276" w:before="120" w:after="120"/>
        <w:jc w:val="both"/>
        <w:rPr>
          <w:rFonts w:ascii="Calibri" w:hAnsi="Calibri"/>
        </w:rPr>
      </w:pPr>
      <w:r>
        <w:rPr>
          <w:rFonts w:eastAsia="Arial" w:cs="Arial" w:ascii="Calibri" w:hAnsi="Calibri"/>
          <w:color w:val="000000"/>
          <w:szCs w:val="20"/>
        </w:rPr>
        <w:t>O prazo previsto para assinatura do contrato ou aceitação da nota de empenho ou instrumento equivalente poderá ser prorrogado</w:t>
      </w:r>
      <w:r>
        <w:rPr>
          <w:rFonts w:cs="Times New Roman" w:ascii="Calibri" w:hAnsi="Calibri"/>
          <w:bCs/>
        </w:rPr>
        <w:t>1 (uma) vez</w:t>
      </w:r>
      <w:r>
        <w:rPr>
          <w:rFonts w:eastAsia="Arial" w:cs="Arial" w:ascii="Calibri" w:hAnsi="Calibri"/>
          <w:szCs w:val="20"/>
        </w:rPr>
        <w:t xml:space="preserve">, </w:t>
      </w:r>
      <w:r>
        <w:rPr>
          <w:rFonts w:eastAsia="Arial" w:cs="Arial" w:ascii="Calibri" w:hAnsi="Calibri"/>
          <w:color w:val="000000"/>
          <w:szCs w:val="20"/>
        </w:rPr>
        <w:t>por igual período, por solicitação justificada do adjudicatário e aceita pela Administração.</w:t>
      </w:r>
    </w:p>
    <w:p>
      <w:pPr>
        <w:pStyle w:val="Normal"/>
        <w:numPr>
          <w:ilvl w:val="1"/>
          <w:numId w:val="1"/>
        </w:numPr>
        <w:spacing w:lineRule="auto" w:line="276" w:before="120" w:after="120"/>
        <w:ind w:left="425" w:hanging="0"/>
        <w:jc w:val="both"/>
        <w:rPr>
          <w:rFonts w:ascii="Calibri" w:hAnsi="Calibri"/>
        </w:rPr>
      </w:pPr>
      <w:r>
        <w:rPr>
          <w:rFonts w:eastAsia="Arial" w:cs="Arial" w:ascii="Calibri" w:hAnsi="Calibri"/>
          <w:i w:val="false"/>
          <w:iCs w:val="false"/>
          <w:color w:val="000000"/>
          <w:szCs w:val="20"/>
        </w:rPr>
        <w:t>O Aceite da Nota de Empenho, emitida à empresa adjudicada, implica no reconhecimento de que:</w:t>
      </w:r>
    </w:p>
    <w:p>
      <w:pPr>
        <w:pStyle w:val="Normal"/>
        <w:numPr>
          <w:ilvl w:val="2"/>
          <w:numId w:val="1"/>
        </w:numPr>
        <w:spacing w:lineRule="auto" w:line="276" w:before="120" w:after="120"/>
        <w:jc w:val="both"/>
        <w:rPr>
          <w:rFonts w:ascii="Calibri" w:hAnsi="Calibri"/>
        </w:rPr>
      </w:pPr>
      <w:r>
        <w:rPr>
          <w:rFonts w:eastAsia="Arial" w:cs="Arial" w:ascii="Calibri" w:hAnsi="Calibri"/>
          <w:i w:val="false"/>
          <w:iCs w:val="false"/>
          <w:color w:val="000000"/>
          <w:szCs w:val="20"/>
        </w:rPr>
        <w:t>referida Nota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ascii="Calibri" w:hAnsi="Calibri"/>
        </w:rPr>
      </w:pPr>
      <w:r>
        <w:rPr>
          <w:rFonts w:eastAsia="Arial" w:cs="Arial" w:ascii="Calibri" w:hAnsi="Calibri"/>
          <w:i w:val="false"/>
          <w:iCs w:val="false"/>
          <w:color w:val="000000"/>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rFonts w:ascii="Calibri" w:hAnsi="Calibri"/>
        </w:rPr>
      </w:pPr>
      <w:r>
        <w:rPr>
          <w:rFonts w:eastAsia="Arial" w:cs="Arial" w:ascii="Calibri" w:hAnsi="Calibri"/>
          <w:i w:val="false"/>
          <w:iCs w:val="false"/>
          <w:color w:val="000000"/>
          <w:szCs w:val="20"/>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spacing w:lineRule="auto" w:line="276" w:before="120" w:after="120"/>
        <w:ind w:left="425" w:hanging="0"/>
        <w:jc w:val="both"/>
        <w:rPr>
          <w:rFonts w:ascii="Calibri" w:hAnsi="Calibri"/>
        </w:rPr>
      </w:pPr>
      <w:r>
        <w:rPr>
          <w:rFonts w:eastAsia="Arial" w:cs="Arial" w:ascii="Calibri" w:hAnsi="Calibri"/>
          <w:color w:val="000000"/>
          <w:szCs w:val="20"/>
        </w:rPr>
        <w:t>O prazo de vigência da contratação é de 30 (trinta) dias</w:t>
      </w:r>
      <w:r>
        <w:rPr>
          <w:rFonts w:eastAsia="Arial" w:cs="Arial" w:ascii="Calibri" w:hAnsi="Calibri"/>
          <w:color w:val="FF0000"/>
          <w:szCs w:val="20"/>
        </w:rPr>
        <w:t xml:space="preserve"> </w:t>
      </w:r>
      <w:r>
        <w:rPr>
          <w:rFonts w:eastAsia="Arial" w:cs="Arial" w:ascii="Calibri" w:hAnsi="Calibri"/>
          <w:color w:val="000000"/>
          <w:szCs w:val="20"/>
        </w:rPr>
        <w:t>prorrogáveis conforme previsão nos anexos a este Aviso de Contratação Direta.</w:t>
      </w:r>
    </w:p>
    <w:p>
      <w:pPr>
        <w:pStyle w:val="Normal"/>
        <w:numPr>
          <w:ilvl w:val="1"/>
          <w:numId w:val="1"/>
        </w:numPr>
        <w:spacing w:lineRule="auto" w:line="276" w:before="120" w:after="120"/>
        <w:ind w:left="425" w:hanging="0"/>
        <w:jc w:val="both"/>
        <w:rPr>
          <w:rFonts w:ascii="Calibri" w:hAnsi="Calibri"/>
        </w:rPr>
      </w:pPr>
      <w:r>
        <w:rPr>
          <w:rFonts w:cs="Arial" w:ascii="Calibri" w:hAnsi="Calibri"/>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pPr>
        <w:pStyle w:val="PADRO"/>
        <w:keepNext/>
        <w:widowControl/>
        <w:numPr>
          <w:ilvl w:val="0"/>
          <w:numId w:val="1"/>
        </w:numPr>
        <w:shd w:val="clear" w:color="auto" w:fill="auto"/>
        <w:spacing w:before="120" w:after="120"/>
        <w:rPr>
          <w:rFonts w:ascii="Calibri" w:hAnsi="Calibri"/>
        </w:rPr>
      </w:pPr>
      <w:r>
        <w:rPr>
          <w:rFonts w:cs="Arial" w:ascii="Calibri" w:hAnsi="Calibri"/>
          <w:b/>
        </w:rPr>
        <w:t>SANÇÕES</w:t>
      </w:r>
    </w:p>
    <w:p>
      <w:pPr>
        <w:pStyle w:val="Normal"/>
        <w:numPr>
          <w:ilvl w:val="1"/>
          <w:numId w:val="1"/>
        </w:numPr>
        <w:spacing w:lineRule="auto" w:line="276" w:before="120" w:after="120"/>
        <w:ind w:left="425" w:hanging="0"/>
        <w:jc w:val="both"/>
        <w:rPr>
          <w:rFonts w:ascii="Calibri" w:hAnsi="Calibri"/>
        </w:rPr>
      </w:pPr>
      <w:r>
        <w:rPr>
          <w:rFonts w:cs="Arial" w:ascii="Calibri" w:hAnsi="Calibri"/>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ascii="Calibri" w:hAnsi="Calibri"/>
        </w:rPr>
      </w:pPr>
      <w:r>
        <w:rPr>
          <w:rFonts w:cs="Arial" w:ascii="Calibri" w:hAnsi="Calibri"/>
          <w:color w:val="000000"/>
          <w:szCs w:val="20"/>
        </w:rPr>
        <w:t>dar causa à inexecução parcial do contrato</w:t>
      </w:r>
      <w:r>
        <w:rPr>
          <w:rFonts w:cs="Arial" w:ascii="Calibri" w:hAnsi="Calibri"/>
        </w:rPr>
        <w:t>;</w:t>
      </w:r>
    </w:p>
    <w:p>
      <w:pPr>
        <w:pStyle w:val="Normal"/>
        <w:numPr>
          <w:ilvl w:val="2"/>
          <w:numId w:val="1"/>
        </w:numPr>
        <w:spacing w:lineRule="auto" w:line="276" w:before="120" w:after="120"/>
        <w:jc w:val="both"/>
        <w:rPr>
          <w:rFonts w:ascii="Calibri" w:hAnsi="Calibri"/>
        </w:rPr>
      </w:pPr>
      <w:r>
        <w:rPr>
          <w:rFonts w:cs="Arial" w:ascii="Calibri" w:hAnsi="Calibri"/>
          <w:color w:val="000000"/>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ascii="Calibri" w:hAnsi="Calibri"/>
        </w:rPr>
      </w:pPr>
      <w:r>
        <w:rPr>
          <w:rFonts w:cs="Arial" w:ascii="Calibri" w:hAnsi="Calibri"/>
          <w:color w:val="000000"/>
          <w:szCs w:val="20"/>
        </w:rPr>
        <w:t>dar causa à inexecução total do contrato;</w:t>
      </w:r>
    </w:p>
    <w:p>
      <w:pPr>
        <w:pStyle w:val="Normal"/>
        <w:numPr>
          <w:ilvl w:val="2"/>
          <w:numId w:val="1"/>
        </w:numPr>
        <w:spacing w:lineRule="auto" w:line="276" w:before="120" w:after="120"/>
        <w:jc w:val="both"/>
        <w:rPr>
          <w:rFonts w:ascii="Calibri" w:hAnsi="Calibri"/>
        </w:rPr>
      </w:pPr>
      <w:r>
        <w:rPr>
          <w:rFonts w:cs="Arial" w:ascii="Calibri" w:hAnsi="Calibri"/>
          <w:color w:val="000000"/>
          <w:szCs w:val="20"/>
        </w:rPr>
        <w:t>deixar de entregar a documentação exigida para o certame;</w:t>
      </w:r>
    </w:p>
    <w:p>
      <w:pPr>
        <w:pStyle w:val="Normal"/>
        <w:numPr>
          <w:ilvl w:val="2"/>
          <w:numId w:val="1"/>
        </w:numPr>
        <w:spacing w:lineRule="auto" w:line="276" w:before="120" w:after="120"/>
        <w:jc w:val="both"/>
        <w:rPr>
          <w:rFonts w:ascii="Calibri" w:hAnsi="Calibri"/>
        </w:rPr>
      </w:pPr>
      <w:r>
        <w:rPr>
          <w:rFonts w:cs="Arial" w:ascii="Calibri" w:hAnsi="Calibri"/>
          <w:color w:val="000000"/>
          <w:szCs w:val="20"/>
        </w:rPr>
        <w:t>não manter a proposta, salvo em decorrência de fato superveniente devidamente justificado;</w:t>
      </w:r>
    </w:p>
    <w:p>
      <w:pPr>
        <w:pStyle w:val="Normal"/>
        <w:numPr>
          <w:ilvl w:val="2"/>
          <w:numId w:val="1"/>
        </w:numPr>
        <w:spacing w:lineRule="auto" w:line="276" w:before="120" w:after="120"/>
        <w:jc w:val="both"/>
        <w:rPr>
          <w:rFonts w:ascii="Calibri" w:hAnsi="Calibri"/>
        </w:rPr>
      </w:pPr>
      <w:r>
        <w:rPr>
          <w:rFonts w:cs="Arial" w:ascii="Calibri" w:hAnsi="Calibri"/>
          <w:color w:val="000000"/>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ascii="Calibri" w:hAnsi="Calibri"/>
        </w:rPr>
      </w:pPr>
      <w:r>
        <w:rPr>
          <w:rFonts w:cs="Arial" w:ascii="Calibri" w:hAnsi="Calibri"/>
          <w:color w:val="000000"/>
          <w:szCs w:val="20"/>
        </w:rPr>
        <w:t> </w:t>
      </w:r>
      <w:r>
        <w:rPr>
          <w:rFonts w:cs="Arial" w:ascii="Calibri" w:hAnsi="Calibri"/>
          <w:color w:val="000000"/>
          <w:szCs w:val="20"/>
        </w:rPr>
        <w:t>ensejar o retardamento da execução ou da entrega do objeto da licitação sem motivo justificado;</w:t>
      </w:r>
    </w:p>
    <w:p>
      <w:pPr>
        <w:pStyle w:val="Normal"/>
        <w:numPr>
          <w:ilvl w:val="2"/>
          <w:numId w:val="1"/>
        </w:numPr>
        <w:spacing w:lineRule="auto" w:line="276" w:before="120" w:after="120"/>
        <w:jc w:val="both"/>
        <w:rPr>
          <w:rFonts w:ascii="Calibri" w:hAnsi="Calibri"/>
        </w:rPr>
      </w:pPr>
      <w:r>
        <w:rPr>
          <w:rFonts w:cs="Arial" w:ascii="Calibri" w:hAnsi="Calibri"/>
          <w:color w:val="000000"/>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ascii="Calibri" w:hAnsi="Calibri"/>
        </w:rPr>
      </w:pPr>
      <w:r>
        <w:rPr>
          <w:rFonts w:cs="Arial" w:ascii="Calibri" w:hAnsi="Calibri"/>
          <w:color w:val="000000"/>
          <w:szCs w:val="20"/>
        </w:rPr>
        <w:t>fraudar a dispensa eletrônica ou praticar ato fraudulento na execução do contrato;</w:t>
      </w:r>
    </w:p>
    <w:p>
      <w:pPr>
        <w:pStyle w:val="Normal"/>
        <w:numPr>
          <w:ilvl w:val="2"/>
          <w:numId w:val="1"/>
        </w:numPr>
        <w:spacing w:lineRule="auto" w:line="276" w:before="120" w:after="120"/>
        <w:jc w:val="both"/>
        <w:rPr>
          <w:rFonts w:ascii="Calibri" w:hAnsi="Calibri"/>
        </w:rPr>
      </w:pPr>
      <w:r>
        <w:rPr>
          <w:rFonts w:cs="Arial" w:ascii="Calibri" w:hAnsi="Calibri"/>
          <w:color w:val="000000"/>
          <w:szCs w:val="20"/>
        </w:rPr>
        <w:t> </w:t>
      </w:r>
      <w:r>
        <w:rPr>
          <w:rFonts w:cs="Arial" w:ascii="Calibri" w:hAnsi="Calibri"/>
          <w:color w:val="000000"/>
          <w:szCs w:val="20"/>
        </w:rPr>
        <w:t>comportar-se de modo inidôneo ou cometer fraude de qualquer natureza;</w:t>
      </w:r>
    </w:p>
    <w:p>
      <w:pPr>
        <w:pStyle w:val="ListParagraph"/>
        <w:numPr>
          <w:ilvl w:val="3"/>
          <w:numId w:val="1"/>
        </w:numPr>
        <w:spacing w:lineRule="auto" w:line="276" w:before="120" w:after="120"/>
        <w:jc w:val="both"/>
        <w:rPr>
          <w:rFonts w:ascii="Calibri" w:hAnsi="Calibri"/>
        </w:rPr>
      </w:pPr>
      <w:r>
        <w:rPr>
          <w:rFonts w:cs="Arial" w:ascii="Calibri" w:hAnsi="Calibri"/>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ascii="Calibri" w:hAnsi="Calibri"/>
        </w:rPr>
      </w:pPr>
      <w:r>
        <w:rPr>
          <w:rFonts w:cs="Arial" w:ascii="Calibri" w:hAnsi="Calibri"/>
          <w:color w:val="000000"/>
          <w:szCs w:val="20"/>
        </w:rPr>
        <w:t> </w:t>
      </w:r>
      <w:r>
        <w:rPr>
          <w:rFonts w:cs="Arial" w:ascii="Calibri" w:hAnsi="Calibri"/>
          <w:color w:val="000000"/>
          <w:szCs w:val="20"/>
        </w:rPr>
        <w:t>praticar atos ilícitos com vistas a frustrar os objetivos deste certame.</w:t>
      </w:r>
    </w:p>
    <w:p>
      <w:pPr>
        <w:pStyle w:val="Normal"/>
        <w:numPr>
          <w:ilvl w:val="2"/>
          <w:numId w:val="1"/>
        </w:numPr>
        <w:spacing w:lineRule="auto" w:line="276" w:before="120" w:after="120"/>
        <w:jc w:val="both"/>
        <w:rPr/>
      </w:pPr>
      <w:r>
        <w:rPr>
          <w:rFonts w:cs="Arial" w:ascii="Calibri" w:hAnsi="Calibri"/>
          <w:color w:val="000000"/>
          <w:szCs w:val="20"/>
        </w:rPr>
        <w:t>praticar ato lesivo previsto no </w:t>
      </w:r>
      <w:r>
        <w:fldChar w:fldCharType="begin"/>
      </w:r>
      <w:r>
        <w:instrText> HYPERLINK "http://www.planalto.gov.br/ccivil_03/_Ato2011-2014/2013/Lei/L12846.htm" \l "art5"</w:instrText>
      </w:r>
      <w:r>
        <w:fldChar w:fldCharType="separate"/>
      </w:r>
      <w:r>
        <w:rPr>
          <w:rStyle w:val="LinkdaInternet"/>
          <w:rFonts w:ascii="Calibri" w:hAnsi="Calibri"/>
          <w:color w:val="000000"/>
        </w:rPr>
        <w:t>art. 5º da Lei nº 12.846, de 1º de agosto de 2013.</w:t>
      </w:r>
      <w:r>
        <w:fldChar w:fldCharType="end"/>
      </w:r>
    </w:p>
    <w:p>
      <w:pPr>
        <w:pStyle w:val="Normal"/>
        <w:numPr>
          <w:ilvl w:val="1"/>
          <w:numId w:val="1"/>
        </w:numPr>
        <w:spacing w:lineRule="auto" w:line="276" w:before="120" w:after="120"/>
        <w:ind w:left="425" w:hanging="0"/>
        <w:jc w:val="both"/>
        <w:rPr>
          <w:rFonts w:ascii="Calibri" w:hAnsi="Calibri"/>
        </w:rPr>
      </w:pPr>
      <w:r>
        <w:rPr>
          <w:rFonts w:cs="Arial" w:ascii="Calibri" w:hAnsi="Calibri"/>
        </w:rPr>
        <w:t>O fornecedor que cometer qualquer das infrações discriminadas nos subitens anteriores ficará sujeito, sem prejuízo da responsabilidade civil e criminal, às seguintes sanções:</w:t>
      </w:r>
    </w:p>
    <w:p>
      <w:pPr>
        <w:pStyle w:val="Normal"/>
        <w:numPr>
          <w:ilvl w:val="2"/>
          <w:numId w:val="5"/>
        </w:numPr>
        <w:spacing w:lineRule="auto" w:line="276" w:before="120" w:after="120"/>
        <w:jc w:val="both"/>
        <w:rPr>
          <w:rFonts w:ascii="Calibri" w:hAnsi="Calibri"/>
        </w:rPr>
      </w:pPr>
      <w:r>
        <w:rPr>
          <w:rFonts w:cs="Arial" w:ascii="Calibri" w:hAnsi="Calibri"/>
        </w:rPr>
        <w:t>Advertência pela falta do subitem 8.1.1 deste Aviso de Contratação Direta,quando não se justificar a imposição de penalidade mais grave;</w:t>
      </w:r>
    </w:p>
    <w:p>
      <w:pPr>
        <w:pStyle w:val="Normal"/>
        <w:numPr>
          <w:ilvl w:val="2"/>
          <w:numId w:val="5"/>
        </w:numPr>
        <w:spacing w:lineRule="auto" w:line="276" w:before="120" w:after="120"/>
        <w:jc w:val="both"/>
        <w:rPr>
          <w:rFonts w:ascii="Calibri" w:hAnsi="Calibri"/>
        </w:rPr>
      </w:pPr>
      <w:r>
        <w:rPr>
          <w:rFonts w:cs="Arial" w:ascii="Calibri" w:hAnsi="Calibri"/>
        </w:rPr>
        <w:t xml:space="preserve">Multa de </w:t>
      </w:r>
      <w:r>
        <w:rPr>
          <w:rFonts w:cs="Arial" w:ascii="Calibri" w:hAnsi="Calibri"/>
          <w:color w:val="000000"/>
        </w:rPr>
        <w:t xml:space="preserve">10% (dez por cento) </w:t>
      </w:r>
      <w:r>
        <w:rPr>
          <w:rFonts w:cs="Arial" w:ascii="Calibri" w:hAnsi="Calibri"/>
        </w:rPr>
        <w:t>sobre o valor estimado do(s) item(s) prejudicado(s) pela conduta do fornecedor, por qualquer das infrações dos subitens 8.1.1 a 8.1.12;</w:t>
      </w:r>
    </w:p>
    <w:p>
      <w:pPr>
        <w:pStyle w:val="Normal"/>
        <w:numPr>
          <w:ilvl w:val="2"/>
          <w:numId w:val="5"/>
        </w:numPr>
        <w:spacing w:lineRule="auto" w:line="276" w:before="120" w:after="120"/>
        <w:jc w:val="both"/>
        <w:rPr>
          <w:rFonts w:ascii="Calibri" w:hAnsi="Calibri"/>
        </w:rPr>
      </w:pPr>
      <w:r>
        <w:rPr>
          <w:rFonts w:cs="Arial" w:ascii="Calibri" w:hAnsi="Calibri"/>
          <w:color w:val="000000"/>
          <w:szCs w:val="20"/>
        </w:rPr>
        <w:t>Impedimento de licitar e contratarno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ascii="Calibri" w:hAnsi="Calibri"/>
        </w:rPr>
        <w:t>;</w:t>
      </w:r>
    </w:p>
    <w:p>
      <w:pPr>
        <w:pStyle w:val="Normal"/>
        <w:numPr>
          <w:ilvl w:val="2"/>
          <w:numId w:val="5"/>
        </w:numPr>
        <w:spacing w:lineRule="auto" w:line="276" w:before="120" w:after="120"/>
        <w:jc w:val="both"/>
        <w:rPr>
          <w:rFonts w:ascii="Calibri" w:hAnsi="Calibri"/>
        </w:rPr>
      </w:pPr>
      <w:r>
        <w:rPr>
          <w:rFonts w:cs="Arial" w:ascii="Calibri" w:hAnsi="Calibri"/>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ascii="Calibri" w:hAnsi="Calibri"/>
        </w:rPr>
        <w:t>;</w:t>
      </w:r>
    </w:p>
    <w:p>
      <w:pPr>
        <w:pStyle w:val="Normal"/>
        <w:numPr>
          <w:ilvl w:val="1"/>
          <w:numId w:val="1"/>
        </w:numPr>
        <w:spacing w:lineRule="auto" w:line="276" w:before="120" w:after="120"/>
        <w:jc w:val="both"/>
        <w:rPr>
          <w:rFonts w:ascii="Calibri" w:hAnsi="Calibri"/>
        </w:rPr>
      </w:pPr>
      <w:r>
        <w:rPr>
          <w:rFonts w:cs="Arial" w:ascii="Calibri" w:hAnsi="Calibri"/>
          <w:bCs/>
        </w:rPr>
        <w:t>Na aplicação das sanções serão considerados:</w:t>
      </w:r>
    </w:p>
    <w:p>
      <w:pPr>
        <w:pStyle w:val="Normal"/>
        <w:numPr>
          <w:ilvl w:val="2"/>
          <w:numId w:val="1"/>
        </w:numPr>
        <w:spacing w:lineRule="auto" w:line="276" w:before="120" w:after="120"/>
        <w:jc w:val="both"/>
        <w:rPr>
          <w:rFonts w:ascii="Calibri" w:hAnsi="Calibri"/>
        </w:rPr>
      </w:pPr>
      <w:r>
        <w:rPr>
          <w:rFonts w:cs="Arial" w:ascii="Calibri" w:hAnsi="Calibri"/>
          <w:bCs/>
        </w:rPr>
        <w:t>a natureza e a gravidade da infração cometida;</w:t>
      </w:r>
    </w:p>
    <w:p>
      <w:pPr>
        <w:pStyle w:val="Normal"/>
        <w:numPr>
          <w:ilvl w:val="2"/>
          <w:numId w:val="1"/>
        </w:numPr>
        <w:spacing w:lineRule="auto" w:line="276" w:before="120" w:after="120"/>
        <w:jc w:val="both"/>
        <w:rPr>
          <w:rFonts w:ascii="Calibri" w:hAnsi="Calibri"/>
        </w:rPr>
      </w:pPr>
      <w:r>
        <w:rPr>
          <w:rFonts w:cs="Arial" w:ascii="Calibri" w:hAnsi="Calibri"/>
          <w:bCs/>
        </w:rPr>
        <w:t>as peculiaridades do caso concreto;</w:t>
      </w:r>
    </w:p>
    <w:p>
      <w:pPr>
        <w:pStyle w:val="Normal"/>
        <w:numPr>
          <w:ilvl w:val="2"/>
          <w:numId w:val="1"/>
        </w:numPr>
        <w:spacing w:lineRule="auto" w:line="276" w:before="120" w:after="120"/>
        <w:jc w:val="both"/>
        <w:rPr>
          <w:rFonts w:ascii="Calibri" w:hAnsi="Calibri"/>
        </w:rPr>
      </w:pPr>
      <w:r>
        <w:rPr>
          <w:rFonts w:cs="Arial" w:ascii="Calibri" w:hAnsi="Calibri"/>
          <w:bCs/>
        </w:rPr>
        <w:t>as circunstâncias agravantes ou atenuantes;</w:t>
      </w:r>
    </w:p>
    <w:p>
      <w:pPr>
        <w:pStyle w:val="Normal"/>
        <w:numPr>
          <w:ilvl w:val="2"/>
          <w:numId w:val="1"/>
        </w:numPr>
        <w:spacing w:lineRule="auto" w:line="276" w:before="120" w:after="120"/>
        <w:jc w:val="both"/>
        <w:rPr>
          <w:rFonts w:ascii="Calibri" w:hAnsi="Calibri"/>
        </w:rPr>
      </w:pPr>
      <w:r>
        <w:rPr>
          <w:rFonts w:cs="Arial" w:ascii="Calibri" w:hAnsi="Calibri"/>
          <w:bCs/>
        </w:rPr>
        <w:t>os danos que dela provierem para a Administração Pública;</w:t>
      </w:r>
    </w:p>
    <w:p>
      <w:pPr>
        <w:pStyle w:val="Normal"/>
        <w:numPr>
          <w:ilvl w:val="2"/>
          <w:numId w:val="1"/>
        </w:numPr>
        <w:spacing w:lineRule="auto" w:line="276" w:before="120" w:after="120"/>
        <w:jc w:val="both"/>
        <w:rPr>
          <w:rFonts w:ascii="Calibri" w:hAnsi="Calibri"/>
        </w:rPr>
      </w:pPr>
      <w:r>
        <w:rPr>
          <w:rFonts w:cs="Arial" w:ascii="Calibri" w:hAnsi="Calibri"/>
          <w:bCs/>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ascii="Calibri" w:hAnsi="Calibri"/>
        </w:rPr>
      </w:pPr>
      <w:bookmarkStart w:id="2" w:name="art156§8"/>
      <w:bookmarkStart w:id="3" w:name="art156§7"/>
      <w:bookmarkStart w:id="4" w:name="art156§6"/>
      <w:bookmarkEnd w:id="2"/>
      <w:bookmarkEnd w:id="3"/>
      <w:bookmarkEnd w:id="4"/>
      <w:r>
        <w:rPr>
          <w:rFonts w:cs="Arial" w:ascii="Calibri" w:hAnsi="Calibri"/>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76" w:before="120" w:after="120"/>
        <w:ind w:left="425" w:hanging="0"/>
        <w:jc w:val="both"/>
        <w:rPr>
          <w:rFonts w:ascii="Calibri" w:hAnsi="Calibri"/>
        </w:rPr>
      </w:pPr>
      <w:bookmarkStart w:id="5" w:name="art156§9"/>
      <w:bookmarkEnd w:id="5"/>
      <w:r>
        <w:rPr>
          <w:rFonts w:cs="Arial" w:ascii="Calibri" w:hAnsi="Calibri"/>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76" w:before="120" w:after="120"/>
        <w:ind w:left="425" w:hanging="0"/>
        <w:jc w:val="both"/>
        <w:rPr>
          <w:rFonts w:ascii="Calibri" w:hAnsi="Calibri"/>
        </w:rPr>
      </w:pPr>
      <w:r>
        <w:rPr>
          <w:rFonts w:cs="Arial" w:ascii="Calibri" w:hAnsi="Calibri"/>
        </w:rPr>
        <w:t>A penalidade de multa pode ser aplicada cumulativamente com as demais sanções.</w:t>
      </w:r>
    </w:p>
    <w:p>
      <w:pPr>
        <w:pStyle w:val="Normal"/>
        <w:numPr>
          <w:ilvl w:val="1"/>
          <w:numId w:val="1"/>
        </w:numPr>
        <w:spacing w:lineRule="auto" w:line="276" w:before="120" w:after="120"/>
        <w:ind w:left="425" w:hanging="0"/>
        <w:jc w:val="both"/>
        <w:rPr>
          <w:rFonts w:ascii="Calibri" w:hAnsi="Calibri"/>
        </w:rPr>
      </w:pPr>
      <w:r>
        <w:rPr>
          <w:rFonts w:cs="Arial" w:ascii="Calibri" w:hAnsi="Calibri"/>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76" w:before="120" w:after="120"/>
        <w:ind w:left="425" w:hanging="0"/>
        <w:jc w:val="both"/>
        <w:rPr>
          <w:rFonts w:ascii="Calibri" w:hAnsi="Calibri"/>
        </w:rPr>
      </w:pPr>
      <w:r>
        <w:rPr>
          <w:rFonts w:cs="Arial" w:ascii="Calibri" w:hAnsi="Calibri"/>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76" w:before="120" w:after="120"/>
        <w:ind w:left="425" w:hanging="0"/>
        <w:jc w:val="both"/>
        <w:rPr>
          <w:rFonts w:ascii="Calibri" w:hAnsi="Calibri"/>
        </w:rPr>
      </w:pPr>
      <w:r>
        <w:rPr>
          <w:rFonts w:cs="Arial" w:ascii="Calibri" w:hAnsi="Calibri"/>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76" w:before="120" w:after="120"/>
        <w:ind w:left="425" w:hanging="0"/>
        <w:jc w:val="both"/>
        <w:rPr>
          <w:rFonts w:ascii="Calibri" w:hAnsi="Calibri"/>
        </w:rPr>
      </w:pPr>
      <w:r>
        <w:rPr>
          <w:rFonts w:cs="Arial" w:ascii="Calibri" w:hAnsi="Calibri"/>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76" w:before="120" w:after="120"/>
        <w:ind w:left="425" w:hanging="0"/>
        <w:jc w:val="both"/>
        <w:rPr>
          <w:rFonts w:ascii="Calibri" w:hAnsi="Calibri"/>
        </w:rPr>
      </w:pPr>
      <w:r>
        <w:rPr>
          <w:rFonts w:cs="Arial" w:ascii="Calibri" w:hAnsi="Calibri"/>
        </w:rPr>
        <w:t>As sanções por atos praticados no decorrer da contratação estão previstas nos anexos a este Aviso.</w:t>
      </w:r>
    </w:p>
    <w:p>
      <w:pPr>
        <w:pStyle w:val="Normal"/>
        <w:spacing w:lineRule="auto" w:line="276" w:before="120" w:after="120"/>
        <w:ind w:left="425" w:hanging="0"/>
        <w:jc w:val="both"/>
        <w:rPr>
          <w:rFonts w:ascii="Calibri" w:hAnsi="Calibri" w:cs="Arial"/>
        </w:rPr>
      </w:pPr>
      <w:r>
        <w:rPr>
          <w:rFonts w:cs="Arial" w:ascii="Calibri" w:hAnsi="Calibri"/>
        </w:rPr>
      </w:r>
    </w:p>
    <w:p>
      <w:pPr>
        <w:pStyle w:val="PADRO"/>
        <w:keepNext/>
        <w:widowControl/>
        <w:numPr>
          <w:ilvl w:val="0"/>
          <w:numId w:val="1"/>
        </w:numPr>
        <w:shd w:val="clear" w:color="auto" w:fill="auto"/>
        <w:spacing w:before="120" w:after="120"/>
        <w:rPr>
          <w:rFonts w:ascii="Calibri" w:hAnsi="Calibri"/>
        </w:rPr>
      </w:pPr>
      <w:r>
        <w:rPr>
          <w:rFonts w:cs="Arial" w:ascii="Calibri" w:hAnsi="Calibri"/>
          <w:b/>
        </w:rPr>
        <w:t>DAS DISPOSIÇÕES GERAIS</w:t>
      </w:r>
    </w:p>
    <w:p>
      <w:pPr>
        <w:pStyle w:val="Normal"/>
        <w:numPr>
          <w:ilvl w:val="1"/>
          <w:numId w:val="1"/>
        </w:numPr>
        <w:snapToGrid w:val="false"/>
        <w:spacing w:lineRule="auto" w:line="276" w:before="120" w:after="120"/>
        <w:ind w:left="425" w:hanging="0"/>
        <w:jc w:val="both"/>
        <w:rPr>
          <w:rFonts w:ascii="Calibri" w:hAnsi="Calibri"/>
        </w:rPr>
      </w:pPr>
      <w:r>
        <w:rPr>
          <w:rFonts w:ascii="Calibri" w:hAnsi="Calibri"/>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lineRule="auto" w:line="276" w:before="120" w:after="120"/>
        <w:ind w:left="425" w:hanging="0"/>
        <w:jc w:val="both"/>
        <w:rPr>
          <w:rFonts w:ascii="Calibri" w:hAnsi="Calibri"/>
        </w:rPr>
      </w:pPr>
      <w:r>
        <w:rPr>
          <w:rFonts w:cs="Arial" w:ascii="Calibri" w:hAnsi="Calibri"/>
          <w:color w:val="000000"/>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ascii="Calibri" w:hAnsi="Calibri"/>
        </w:rPr>
      </w:pPr>
      <w:r>
        <w:rPr>
          <w:rFonts w:cs="Arial" w:ascii="Calibri" w:hAnsi="Calibri"/>
          <w:color w:val="000000"/>
          <w:szCs w:val="20"/>
        </w:rPr>
        <w:t>republicar o presente aviso com uma nova data;</w:t>
      </w:r>
    </w:p>
    <w:p>
      <w:pPr>
        <w:pStyle w:val="Normal"/>
        <w:numPr>
          <w:ilvl w:val="2"/>
          <w:numId w:val="1"/>
        </w:numPr>
        <w:spacing w:lineRule="auto" w:line="276" w:before="120" w:after="120"/>
        <w:jc w:val="both"/>
        <w:rPr>
          <w:rFonts w:ascii="Calibri" w:hAnsi="Calibri"/>
        </w:rPr>
      </w:pPr>
      <w:r>
        <w:rPr>
          <w:rFonts w:cs="Arial" w:ascii="Calibri" w:hAnsi="Calibri"/>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ascii="Calibri" w:hAnsi="Calibri"/>
        </w:rPr>
      </w:pPr>
      <w:r>
        <w:rPr>
          <w:rFonts w:cs="Arial" w:ascii="Calibri" w:hAnsi="Calibri"/>
          <w:color w:val="000000"/>
          <w:szCs w:val="20"/>
        </w:rPr>
        <w:t>No caso do subitem anterior, a contratação será operacionalizada fora deste procedimento.</w:t>
      </w:r>
    </w:p>
    <w:p>
      <w:pPr>
        <w:pStyle w:val="Normal"/>
        <w:numPr>
          <w:ilvl w:val="2"/>
          <w:numId w:val="1"/>
        </w:numPr>
        <w:spacing w:lineRule="auto" w:line="276" w:before="120" w:after="120"/>
        <w:jc w:val="both"/>
        <w:rPr>
          <w:rFonts w:ascii="Calibri" w:hAnsi="Calibri"/>
        </w:rPr>
      </w:pPr>
      <w:r>
        <w:rPr>
          <w:rFonts w:cs="Arial" w:ascii="Calibri" w:hAnsi="Calibri"/>
          <w:color w:val="000000"/>
          <w:szCs w:val="20"/>
        </w:rPr>
        <w:t>Fixar prazo para que possa haver adequação das propostas ou da documentação de habilitação, conforme o caso.</w:t>
      </w:r>
    </w:p>
    <w:p>
      <w:pPr>
        <w:pStyle w:val="Normal"/>
        <w:numPr>
          <w:ilvl w:val="1"/>
          <w:numId w:val="1"/>
        </w:numPr>
        <w:spacing w:lineRule="auto" w:line="276" w:before="120" w:after="120"/>
        <w:ind w:left="425" w:hanging="0"/>
        <w:jc w:val="both"/>
        <w:rPr>
          <w:rFonts w:ascii="Calibri" w:hAnsi="Calibri"/>
        </w:rPr>
      </w:pPr>
      <w:r>
        <w:rPr>
          <w:rFonts w:cs="Arial" w:ascii="Calibri" w:hAnsi="Calibri"/>
          <w:color w:val="000000"/>
          <w:szCs w:val="20"/>
        </w:rPr>
        <w:t>As providências dos subitens 9.2.1 e 9.2.2 acima poderão ser utilizadas se não houver o comparecimento de quaisquer fornecedores interessados (procedimento deserto)</w:t>
      </w:r>
    </w:p>
    <w:p>
      <w:pPr>
        <w:pStyle w:val="Normal"/>
        <w:numPr>
          <w:ilvl w:val="1"/>
          <w:numId w:val="1"/>
        </w:numPr>
        <w:spacing w:lineRule="auto" w:line="276" w:before="120" w:after="120"/>
        <w:ind w:left="425" w:hanging="0"/>
        <w:jc w:val="both"/>
        <w:rPr>
          <w:rFonts w:ascii="Calibri" w:hAnsi="Calibri"/>
        </w:rPr>
      </w:pPr>
      <w:r>
        <w:rPr>
          <w:rFonts w:cs="Arial" w:ascii="Calibri" w:hAnsi="Calibri"/>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hanging="0"/>
        <w:jc w:val="both"/>
        <w:rPr>
          <w:rFonts w:ascii="Calibri" w:hAnsi="Calibri"/>
        </w:rPr>
      </w:pPr>
      <w:r>
        <w:rPr>
          <w:rFonts w:cs="Arial" w:ascii="Calibri" w:hAnsi="Calibri"/>
          <w:color w:val="000000"/>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hanging="0"/>
        <w:jc w:val="both"/>
        <w:rPr>
          <w:rFonts w:ascii="Calibri" w:hAnsi="Calibri"/>
        </w:rPr>
      </w:pPr>
      <w:r>
        <w:rPr>
          <w:rFonts w:cs="Arial" w:ascii="Calibri" w:hAnsi="Calibri"/>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hanging="0"/>
        <w:jc w:val="both"/>
        <w:rPr>
          <w:rFonts w:ascii="Calibri" w:hAnsi="Calibri"/>
        </w:rPr>
      </w:pPr>
      <w:r>
        <w:rPr>
          <w:rFonts w:cs="Arial" w:ascii="Calibri" w:hAnsi="Calibri"/>
          <w:color w:val="000000"/>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hanging="0"/>
        <w:jc w:val="both"/>
        <w:rPr>
          <w:rFonts w:ascii="Calibri" w:hAnsi="Calibri"/>
        </w:rPr>
      </w:pPr>
      <w:r>
        <w:rPr>
          <w:rFonts w:cs="Arial" w:ascii="Calibri" w:hAnsi="Calibri"/>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hanging="0"/>
        <w:jc w:val="both"/>
        <w:rPr>
          <w:rFonts w:ascii="Calibri" w:hAnsi="Calibri"/>
        </w:rPr>
      </w:pPr>
      <w:r>
        <w:rPr>
          <w:rFonts w:cs="Arial" w:ascii="Calibri" w:hAnsi="Calibri"/>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hanging="0"/>
        <w:jc w:val="both"/>
        <w:rPr>
          <w:rFonts w:ascii="Calibri" w:hAnsi="Calibri"/>
        </w:rPr>
      </w:pPr>
      <w:r>
        <w:rPr>
          <w:rFonts w:cs="Arial" w:ascii="Calibri" w:hAnsi="Calibri"/>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hanging="0"/>
        <w:jc w:val="both"/>
        <w:rPr>
          <w:rFonts w:ascii="Calibri" w:hAnsi="Calibri"/>
        </w:rPr>
      </w:pPr>
      <w:r>
        <w:rPr>
          <w:rFonts w:cs="Arial" w:ascii="Calibri" w:hAnsi="Calibri"/>
          <w:color w:val="000000"/>
          <w:szCs w:val="20"/>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hanging="0"/>
        <w:jc w:val="both"/>
        <w:rPr>
          <w:rFonts w:ascii="Calibri" w:hAnsi="Calibri"/>
        </w:rPr>
      </w:pPr>
      <w:r>
        <w:rPr>
          <w:rFonts w:cs="Arial" w:ascii="Calibri" w:hAnsi="Calibri"/>
          <w:color w:val="000000"/>
          <w:szCs w:val="20"/>
        </w:rPr>
        <w:t>Da sessão pública será divulgada Ata no sistema eletrônico.</w:t>
      </w:r>
    </w:p>
    <w:p>
      <w:pPr>
        <w:pStyle w:val="Normal"/>
        <w:numPr>
          <w:ilvl w:val="1"/>
          <w:numId w:val="1"/>
        </w:numPr>
        <w:spacing w:lineRule="auto" w:line="276" w:before="120" w:after="120"/>
        <w:ind w:left="425" w:hanging="0"/>
        <w:jc w:val="both"/>
        <w:rPr>
          <w:rFonts w:ascii="Calibri" w:hAnsi="Calibri"/>
        </w:rPr>
      </w:pPr>
      <w:r>
        <w:rPr>
          <w:rFonts w:cs="Arial" w:ascii="Calibri" w:hAnsi="Calibri"/>
          <w:color w:val="000000"/>
          <w:szCs w:val="20"/>
        </w:rPr>
        <w:t>Integram este Aviso de Contratação Direta, para todos os fins e efeitos, os seguintes anexos:</w:t>
      </w:r>
    </w:p>
    <w:p>
      <w:pPr>
        <w:pStyle w:val="Normal"/>
        <w:numPr>
          <w:ilvl w:val="2"/>
          <w:numId w:val="1"/>
        </w:numPr>
        <w:spacing w:lineRule="auto" w:line="276" w:before="120" w:after="120"/>
        <w:jc w:val="both"/>
        <w:rPr>
          <w:rFonts w:ascii="Calibri" w:hAnsi="Calibri"/>
        </w:rPr>
      </w:pPr>
      <w:r>
        <w:rPr>
          <w:rFonts w:cs="Arial" w:ascii="Calibri" w:hAnsi="Calibri"/>
          <w:color w:val="000000"/>
          <w:szCs w:val="20"/>
        </w:rPr>
        <w:t>ANEXO I – Documentação exigida para Habilitação</w:t>
      </w:r>
    </w:p>
    <w:p>
      <w:pPr>
        <w:pStyle w:val="Normal"/>
        <w:numPr>
          <w:ilvl w:val="2"/>
          <w:numId w:val="1"/>
        </w:numPr>
        <w:spacing w:lineRule="auto" w:line="276" w:before="120" w:after="120"/>
        <w:jc w:val="both"/>
        <w:rPr>
          <w:rFonts w:ascii="Calibri" w:hAnsi="Calibri"/>
        </w:rPr>
      </w:pPr>
      <w:r>
        <w:rPr>
          <w:rFonts w:cs="Arial" w:ascii="Calibri" w:hAnsi="Calibri"/>
          <w:color w:val="000000"/>
          <w:szCs w:val="20"/>
        </w:rPr>
        <w:t>ANEXO II – Mapa de Riscos;</w:t>
      </w:r>
    </w:p>
    <w:p>
      <w:pPr>
        <w:pStyle w:val="Normal"/>
        <w:numPr>
          <w:ilvl w:val="2"/>
          <w:numId w:val="1"/>
        </w:numPr>
        <w:spacing w:lineRule="auto" w:line="276" w:before="120" w:after="120"/>
        <w:jc w:val="both"/>
        <w:rPr>
          <w:rFonts w:ascii="Calibri" w:hAnsi="Calibri"/>
        </w:rPr>
      </w:pPr>
      <w:r>
        <w:rPr>
          <w:rFonts w:cs="Arial" w:ascii="Calibri" w:hAnsi="Calibri"/>
          <w:i w:val="false"/>
          <w:iCs w:val="false"/>
          <w:color w:val="000000"/>
          <w:szCs w:val="20"/>
          <w:u w:val="none"/>
        </w:rPr>
        <w:t>ANEXO III – Estudo Técnico Preliminar; e,</w:t>
      </w:r>
    </w:p>
    <w:p>
      <w:pPr>
        <w:pStyle w:val="Normal"/>
        <w:numPr>
          <w:ilvl w:val="2"/>
          <w:numId w:val="1"/>
        </w:numPr>
        <w:spacing w:lineRule="auto" w:line="276" w:before="120" w:after="120"/>
        <w:jc w:val="both"/>
        <w:rPr>
          <w:rFonts w:ascii="Calibri" w:hAnsi="Calibri"/>
        </w:rPr>
      </w:pPr>
      <w:r>
        <w:rPr>
          <w:rFonts w:cs="Arial" w:ascii="Calibri" w:hAnsi="Calibri"/>
          <w:i w:val="false"/>
          <w:iCs w:val="false"/>
          <w:color w:val="000000"/>
          <w:szCs w:val="20"/>
        </w:rPr>
        <w:t>ANEXO IV – Mapa comparativo de preços.</w:t>
      </w:r>
    </w:p>
    <w:p>
      <w:pPr>
        <w:pStyle w:val="Normal"/>
        <w:suppressAutoHyphens w:val="false"/>
        <w:bidi w:val="0"/>
        <w:spacing w:lineRule="auto" w:line="276" w:before="0" w:after="0"/>
        <w:ind w:left="0" w:right="0" w:hanging="0"/>
        <w:jc w:val="both"/>
        <w:rPr>
          <w:rFonts w:ascii="Calibri" w:hAnsi="Calibri" w:cs="Calibri"/>
          <w:color w:val="000000"/>
          <w:sz w:val="20"/>
          <w:szCs w:val="20"/>
          <w:lang w:eastAsia="pt-BR"/>
        </w:rPr>
      </w:pPr>
      <w:r>
        <w:rPr>
          <w:rFonts w:cs="Calibri" w:ascii="Calibri" w:hAnsi="Calibri"/>
          <w:color w:val="000000"/>
          <w:sz w:val="20"/>
          <w:szCs w:val="20"/>
          <w:lang w:eastAsia="pt-BR"/>
        </w:rPr>
      </w:r>
    </w:p>
    <w:p>
      <w:pPr>
        <w:pStyle w:val="Normal"/>
        <w:suppressAutoHyphens w:val="false"/>
        <w:bidi w:val="0"/>
        <w:spacing w:lineRule="auto" w:line="276" w:before="0" w:after="0"/>
        <w:ind w:left="0" w:right="0" w:hanging="0"/>
        <w:jc w:val="both"/>
        <w:rPr>
          <w:rFonts w:ascii="Calibri" w:hAnsi="Calibri" w:cs="Calibri"/>
          <w:color w:val="000000"/>
          <w:sz w:val="20"/>
          <w:szCs w:val="20"/>
          <w:lang w:eastAsia="pt-BR"/>
        </w:rPr>
      </w:pPr>
      <w:r>
        <w:rPr>
          <w:rFonts w:cs="Calibri" w:ascii="Calibri" w:hAnsi="Calibri"/>
          <w:color w:val="000000"/>
          <w:sz w:val="20"/>
          <w:szCs w:val="20"/>
          <w:lang w:eastAsia="pt-BR"/>
        </w:rPr>
      </w:r>
    </w:p>
    <w:p>
      <w:pPr>
        <w:pStyle w:val="Normal"/>
        <w:suppressAutoHyphens w:val="false"/>
        <w:bidi w:val="0"/>
        <w:spacing w:lineRule="auto" w:line="240" w:before="0" w:after="0"/>
        <w:ind w:left="0" w:right="0" w:hanging="0"/>
        <w:jc w:val="center"/>
        <w:rPr>
          <w:rFonts w:ascii="Calibri" w:hAnsi="Calibri"/>
        </w:rPr>
      </w:pPr>
      <w:r>
        <w:rPr>
          <w:rFonts w:cs="Calibri" w:ascii="Calibri" w:hAnsi="Calibri"/>
          <w:color w:val="000000"/>
          <w:sz w:val="20"/>
          <w:szCs w:val="20"/>
          <w:lang w:eastAsia="pt-BR"/>
        </w:rPr>
        <w:t>ADALGISA ANDREA TEIXEIRA LEITE</w:t>
      </w:r>
    </w:p>
    <w:p>
      <w:pPr>
        <w:pStyle w:val="Normal"/>
        <w:suppressAutoHyphens w:val="false"/>
        <w:bidi w:val="0"/>
        <w:spacing w:lineRule="auto" w:line="240" w:before="0" w:after="0"/>
        <w:ind w:right="0" w:hanging="0"/>
        <w:jc w:val="center"/>
        <w:rPr>
          <w:rFonts w:ascii="Calibri" w:hAnsi="Calibri"/>
        </w:rPr>
      </w:pPr>
      <w:r>
        <w:rPr>
          <w:rFonts w:cs="Calibri" w:ascii="Calibri" w:hAnsi="Calibri"/>
          <w:sz w:val="20"/>
          <w:szCs w:val="20"/>
          <w:lang w:eastAsia="pt-BR"/>
        </w:rPr>
        <w:t>Capitão de Mar e Guerra (Md)</w:t>
      </w:r>
    </w:p>
    <w:p>
      <w:pPr>
        <w:pStyle w:val="Normal"/>
        <w:suppressAutoHyphens w:val="false"/>
        <w:bidi w:val="0"/>
        <w:spacing w:lineRule="auto" w:line="240" w:before="0" w:after="0"/>
        <w:ind w:left="0" w:right="0" w:hanging="0"/>
        <w:jc w:val="center"/>
        <w:rPr>
          <w:rFonts w:ascii="Calibri" w:hAnsi="Calibri"/>
        </w:rPr>
      </w:pPr>
      <w:r>
        <w:rPr>
          <w:rFonts w:eastAsia="Calibri" w:cs="Calibri" w:ascii="Calibri" w:hAnsi="Calibri"/>
          <w:sz w:val="20"/>
          <w:szCs w:val="20"/>
          <w:lang w:eastAsia="pt-BR"/>
        </w:rPr>
        <w:t>Chefe</w:t>
      </w:r>
      <w:r>
        <w:rPr>
          <w:rFonts w:cs="Calibri" w:ascii="Calibri" w:hAnsi="Calibri"/>
          <w:sz w:val="20"/>
          <w:szCs w:val="20"/>
          <w:lang w:eastAsia="pt-BR"/>
        </w:rPr>
        <w:t xml:space="preserve"> do Serviço de Hemoterapia</w:t>
      </w:r>
    </w:p>
    <w:p>
      <w:pPr>
        <w:pStyle w:val="Normal"/>
        <w:suppressAutoHyphens w:val="false"/>
        <w:ind w:left="0" w:right="0" w:hanging="0"/>
        <w:jc w:val="both"/>
        <w:rPr>
          <w:rFonts w:ascii="Calibri" w:hAnsi="Calibri" w:eastAsia="Calibri" w:cs="Calibri"/>
          <w:sz w:val="20"/>
          <w:szCs w:val="20"/>
          <w:lang w:eastAsia="pt-BR"/>
        </w:rPr>
      </w:pPr>
      <w:r>
        <w:rPr>
          <w:rFonts w:eastAsia="Calibri" w:cs="Calibri" w:ascii="Calibri" w:hAnsi="Calibri"/>
          <w:sz w:val="20"/>
          <w:szCs w:val="20"/>
          <w:lang w:eastAsia="pt-BR"/>
        </w:rPr>
      </w:r>
    </w:p>
    <w:p>
      <w:pPr>
        <w:pStyle w:val="Normal"/>
        <w:suppressAutoHyphens w:val="false"/>
        <w:spacing w:lineRule="auto" w:line="240" w:before="29" w:after="0"/>
        <w:ind w:left="0" w:right="0" w:hanging="0"/>
        <w:jc w:val="both"/>
        <w:rPr>
          <w:rFonts w:ascii="Calibri" w:hAnsi="Calibri" w:eastAsia="Calibri" w:cs="Calibri"/>
          <w:b/>
          <w:b/>
          <w:bCs/>
          <w:sz w:val="20"/>
          <w:szCs w:val="20"/>
          <w:lang w:eastAsia="pt-BR"/>
        </w:rPr>
      </w:pPr>
      <w:r>
        <w:rPr>
          <w:rFonts w:eastAsia="Calibri" w:cs="Calibri" w:ascii="Calibri" w:hAnsi="Calibri"/>
          <w:b/>
          <w:bCs/>
          <w:sz w:val="20"/>
          <w:szCs w:val="20"/>
          <w:lang w:eastAsia="pt-BR"/>
        </w:rPr>
      </w:r>
    </w:p>
    <w:p>
      <w:pPr>
        <w:pStyle w:val="Normal"/>
        <w:suppressAutoHyphens w:val="false"/>
        <w:spacing w:lineRule="auto" w:line="240" w:before="29" w:after="0"/>
        <w:ind w:left="0" w:right="0" w:hanging="0"/>
        <w:jc w:val="both"/>
        <w:rPr>
          <w:rFonts w:ascii="Calibri" w:hAnsi="Calibri"/>
        </w:rPr>
      </w:pPr>
      <w:r>
        <w:rPr>
          <w:rFonts w:eastAsia="Calibri" w:cs="Calibri" w:ascii="Calibri" w:hAnsi="Calibri"/>
          <w:b/>
          <w:bCs/>
          <w:sz w:val="20"/>
          <w:szCs w:val="20"/>
          <w:lang w:eastAsia="pt-BR"/>
        </w:rPr>
        <w:t>De acordo.</w:t>
      </w:r>
      <w:r>
        <w:rPr>
          <w:rFonts w:eastAsia="Calibri" w:cs="Calibri" w:ascii="Calibri" w:hAnsi="Calibri"/>
          <w:sz w:val="20"/>
          <w:szCs w:val="20"/>
          <w:lang w:eastAsia="pt-BR"/>
        </w:rPr>
        <w:t xml:space="preserve">                                     </w:t>
      </w:r>
      <w:bookmarkStart w:id="6" w:name="__DdeLink__76011_1286435713"/>
      <w:r>
        <w:rPr>
          <w:rFonts w:eastAsia="Calibri" w:cs="Calibri" w:ascii="Calibri" w:hAnsi="Calibri"/>
          <w:sz w:val="20"/>
          <w:szCs w:val="20"/>
          <w:lang w:eastAsia="pt-BR"/>
        </w:rPr>
        <w:t>Rio de Janeiro, RJ,_____de_____________________________de 2023</w:t>
      </w:r>
      <w:bookmarkEnd w:id="6"/>
      <w:r>
        <w:rPr>
          <w:rFonts w:eastAsia="Calibri" w:cs="Calibri" w:ascii="Calibri" w:hAnsi="Calibri"/>
          <w:sz w:val="20"/>
          <w:szCs w:val="20"/>
          <w:lang w:eastAsia="pt-BR"/>
        </w:rPr>
        <w:t>.</w:t>
      </w:r>
    </w:p>
    <w:p>
      <w:pPr>
        <w:pStyle w:val="Corpodetexto"/>
        <w:spacing w:lineRule="auto" w:line="240" w:before="0" w:after="0"/>
        <w:ind w:left="35" w:right="458" w:hanging="0"/>
        <w:jc w:val="center"/>
        <w:rPr>
          <w:rFonts w:ascii="Calibri" w:hAnsi="Calibri"/>
        </w:rPr>
      </w:pPr>
      <w:r>
        <w:rPr>
          <w:rFonts w:eastAsia="Calibri" w:cs="Calibri" w:ascii="Calibri" w:hAnsi="Calibri"/>
          <w:sz w:val="20"/>
          <w:szCs w:val="20"/>
          <w:lang w:eastAsia="pt-BR"/>
        </w:rPr>
        <w:t xml:space="preserve">                                                                              </w:t>
      </w:r>
    </w:p>
    <w:p>
      <w:pPr>
        <w:pStyle w:val="Corpodetexto"/>
        <w:spacing w:lineRule="auto" w:line="240" w:before="0" w:after="0"/>
        <w:ind w:left="35" w:right="458" w:hanging="0"/>
        <w:jc w:val="center"/>
        <w:rPr>
          <w:rFonts w:ascii="Calibri" w:hAnsi="Calibri" w:eastAsia="Calibri" w:cs="Calibri"/>
          <w:sz w:val="20"/>
          <w:szCs w:val="20"/>
          <w:lang w:eastAsia="pt-BR"/>
        </w:rPr>
      </w:pPr>
      <w:r>
        <w:rPr>
          <w:rFonts w:eastAsia="Calibri" w:cs="Calibri" w:ascii="Calibri" w:hAnsi="Calibri"/>
          <w:sz w:val="20"/>
          <w:szCs w:val="20"/>
          <w:lang w:eastAsia="pt-BR"/>
        </w:rPr>
      </w:r>
    </w:p>
    <w:p>
      <w:pPr>
        <w:pStyle w:val="Corpodetexto"/>
        <w:spacing w:lineRule="auto" w:line="240" w:before="0" w:after="0"/>
        <w:ind w:right="458" w:hanging="0"/>
        <w:jc w:val="center"/>
        <w:rPr>
          <w:rFonts w:ascii="Calibri" w:hAnsi="Calibri"/>
        </w:rPr>
      </w:pPr>
      <w:r>
        <w:rPr>
          <w:rFonts w:eastAsia="Calibri" w:cs="Calibri" w:ascii="Calibri" w:hAnsi="Calibri"/>
          <w:sz w:val="20"/>
          <w:szCs w:val="20"/>
          <w:lang w:eastAsia="pt-BR"/>
        </w:rPr>
        <w:t>MARA LUCY MAIA GITIRANA</w:t>
      </w:r>
    </w:p>
    <w:p>
      <w:pPr>
        <w:pStyle w:val="Normal"/>
        <w:suppressAutoHyphens w:val="false"/>
        <w:spacing w:lineRule="auto" w:line="240" w:before="29" w:after="0"/>
        <w:ind w:right="0" w:hanging="0"/>
        <w:jc w:val="center"/>
        <w:rPr>
          <w:rFonts w:ascii="Calibri" w:hAnsi="Calibri"/>
        </w:rPr>
      </w:pPr>
      <w:r>
        <w:rPr>
          <w:rFonts w:cs="Calibri" w:ascii="Calibri" w:hAnsi="Calibri"/>
          <w:sz w:val="20"/>
          <w:szCs w:val="20"/>
          <w:lang w:eastAsia="pt-BR"/>
        </w:rPr>
        <w:t>Capitão de Mar e Guerra (S)</w:t>
      </w:r>
    </w:p>
    <w:p>
      <w:pPr>
        <w:pStyle w:val="Normal"/>
        <w:suppressAutoHyphens w:val="false"/>
        <w:spacing w:lineRule="auto" w:line="240" w:before="29" w:after="0"/>
        <w:ind w:right="0" w:hanging="0"/>
        <w:jc w:val="center"/>
        <w:rPr>
          <w:rFonts w:ascii="Calibri" w:hAnsi="Calibri"/>
        </w:rPr>
      </w:pPr>
      <w:r>
        <w:rPr>
          <w:rFonts w:cs="Calibri" w:ascii="Calibri" w:hAnsi="Calibri"/>
          <w:sz w:val="20"/>
          <w:szCs w:val="20"/>
          <w:lang w:eastAsia="pt-BR"/>
        </w:rPr>
        <w:t>Chefe do Departamento de Serviços Especiais</w:t>
      </w:r>
    </w:p>
    <w:p>
      <w:pPr>
        <w:pStyle w:val="Normal"/>
        <w:tabs>
          <w:tab w:val="left" w:pos="2268" w:leader="none"/>
        </w:tabs>
        <w:spacing w:lineRule="auto" w:line="276"/>
        <w:jc w:val="both"/>
        <w:rPr>
          <w:rFonts w:ascii="Calibri" w:hAnsi="Calibri" w:cs="Calibri"/>
          <w:b/>
          <w:b/>
          <w:sz w:val="20"/>
          <w:szCs w:val="20"/>
        </w:rPr>
      </w:pPr>
      <w:r>
        <w:rPr>
          <w:rFonts w:cs="Calibri" w:ascii="Calibri" w:hAnsi="Calibri"/>
          <w:b/>
          <w:sz w:val="20"/>
          <w:szCs w:val="20"/>
        </w:rPr>
      </w:r>
    </w:p>
    <w:p>
      <w:pPr>
        <w:pStyle w:val="Normal"/>
        <w:tabs>
          <w:tab w:val="left" w:pos="2268" w:leader="none"/>
        </w:tabs>
        <w:spacing w:lineRule="auto" w:line="276"/>
        <w:jc w:val="both"/>
        <w:rPr>
          <w:rFonts w:ascii="Calibri" w:hAnsi="Calibri"/>
        </w:rPr>
      </w:pPr>
      <w:r>
        <w:rPr>
          <w:rFonts w:cs="Calibri" w:ascii="Calibri" w:hAnsi="Calibri"/>
          <w:b/>
          <w:sz w:val="20"/>
          <w:szCs w:val="20"/>
        </w:rPr>
        <w:t>Ato de aprovação.</w:t>
      </w:r>
    </w:p>
    <w:p>
      <w:pPr>
        <w:pStyle w:val="Normal"/>
        <w:suppressAutoHyphens w:val="false"/>
        <w:spacing w:lineRule="auto" w:line="240" w:before="143" w:after="0"/>
        <w:ind w:left="0" w:right="0" w:hanging="0"/>
        <w:rPr>
          <w:rFonts w:ascii="Calibri" w:hAnsi="Calibri"/>
        </w:rPr>
      </w:pPr>
      <w:r>
        <w:rPr>
          <w:rFonts w:eastAsia="Calibri" w:cs="Calibri" w:ascii="Calibri" w:hAnsi="Calibri"/>
          <w:sz w:val="20"/>
          <w:szCs w:val="20"/>
          <w:lang w:eastAsia="pt-BR"/>
        </w:rPr>
        <w:tab/>
        <w:t xml:space="preserve">Ao que consta na justificativa e objeto da aquisição, em cumprimento ao disposto no inciso II do art. 14, do Decreto nº 10.024/2019, aprovo o Termo de Referência, diante do exposto, restrito aos aspectos legais e formais do processo, entendendo pelo prosseguimento do mesmo.   </w:t>
      </w:r>
    </w:p>
    <w:p>
      <w:pPr>
        <w:pStyle w:val="Normal"/>
        <w:suppressAutoHyphens w:val="false"/>
        <w:spacing w:before="280" w:after="0"/>
        <w:rPr>
          <w:rFonts w:ascii="Calibri" w:hAnsi="Calibri"/>
        </w:rPr>
      </w:pPr>
      <w:r>
        <w:rPr>
          <w:rFonts w:eastAsia="Calibri" w:cs="Calibri" w:ascii="Calibri" w:hAnsi="Calibri"/>
          <w:b w:val="false"/>
          <w:bCs w:val="false"/>
          <w:sz w:val="20"/>
          <w:szCs w:val="20"/>
          <w:lang w:eastAsia="pt-BR"/>
        </w:rPr>
        <w:t xml:space="preserve">                                                        </w:t>
      </w:r>
      <w:r>
        <w:rPr>
          <w:rFonts w:eastAsia="Calibri" w:cs="Calibri" w:ascii="Calibri" w:hAnsi="Calibri"/>
          <w:b w:val="false"/>
          <w:bCs w:val="false"/>
          <w:sz w:val="20"/>
          <w:szCs w:val="20"/>
          <w:lang w:eastAsia="pt-BR"/>
        </w:rPr>
        <w:t>Rio de Janeiro, RJ,_____de_____________________________de 2023.</w:t>
      </w:r>
    </w:p>
    <w:p>
      <w:pPr>
        <w:pStyle w:val="Normal"/>
        <w:suppressAutoHyphens w:val="false"/>
        <w:spacing w:lineRule="auto" w:line="240" w:before="86" w:after="0"/>
        <w:ind w:left="0" w:right="0" w:hanging="0"/>
        <w:rPr>
          <w:rFonts w:ascii="Calibri" w:hAnsi="Calibri"/>
        </w:rPr>
      </w:pPr>
      <w:r>
        <w:rPr>
          <w:rFonts w:eastAsia="Calibri" w:cs="Calibri" w:ascii="Calibri" w:hAnsi="Calibri"/>
          <w:sz w:val="20"/>
          <w:szCs w:val="20"/>
          <w:lang w:eastAsia="pt-BR"/>
        </w:rPr>
        <w:t xml:space="preserve"> </w:t>
      </w:r>
    </w:p>
    <w:p>
      <w:pPr>
        <w:pStyle w:val="Normal"/>
        <w:suppressAutoHyphens w:val="false"/>
        <w:spacing w:lineRule="auto" w:line="240" w:before="86" w:after="0"/>
        <w:ind w:left="0" w:right="0" w:hanging="0"/>
        <w:rPr>
          <w:rFonts w:ascii="Calibri" w:hAnsi="Calibri" w:eastAsia="Calibri" w:cs="Calibri"/>
          <w:sz w:val="20"/>
          <w:szCs w:val="20"/>
          <w:lang w:eastAsia="pt-BR"/>
        </w:rPr>
      </w:pPr>
      <w:r>
        <w:rPr>
          <w:rFonts w:eastAsia="Calibri" w:cs="Calibri" w:ascii="Calibri" w:hAnsi="Calibri"/>
          <w:sz w:val="20"/>
          <w:szCs w:val="20"/>
          <w:lang w:eastAsia="pt-BR"/>
        </w:rPr>
      </w:r>
    </w:p>
    <w:p>
      <w:pPr>
        <w:pStyle w:val="Normal"/>
        <w:suppressAutoHyphens w:val="false"/>
        <w:bidi w:val="0"/>
        <w:spacing w:lineRule="auto" w:line="240" w:before="0" w:after="0"/>
        <w:ind w:left="5103" w:right="0" w:hanging="5103"/>
        <w:jc w:val="center"/>
        <w:rPr>
          <w:rFonts w:ascii="Calibri" w:hAnsi="Calibri"/>
        </w:rPr>
      </w:pPr>
      <w:r>
        <w:rPr>
          <w:rFonts w:eastAsia="Calibri" w:cs="Calibri" w:ascii="Calibri" w:hAnsi="Calibri"/>
          <w:sz w:val="20"/>
          <w:szCs w:val="20"/>
          <w:lang w:eastAsia="pt-BR"/>
        </w:rPr>
        <w:t xml:space="preserve">PAULO HENRIQUE DIAS VEIGA </w:t>
      </w:r>
    </w:p>
    <w:p>
      <w:pPr>
        <w:pStyle w:val="Normal"/>
        <w:suppressAutoHyphens w:val="false"/>
        <w:bidi w:val="0"/>
        <w:spacing w:lineRule="auto" w:line="240" w:before="0" w:after="0"/>
        <w:jc w:val="center"/>
        <w:rPr>
          <w:rFonts w:ascii="Calibri" w:hAnsi="Calibri"/>
        </w:rPr>
      </w:pPr>
      <w:r>
        <w:rPr>
          <w:rFonts w:cs="Calibri" w:ascii="Calibri" w:hAnsi="Calibri"/>
          <w:sz w:val="20"/>
          <w:szCs w:val="20"/>
          <w:lang w:eastAsia="pt-BR"/>
        </w:rPr>
        <w:t xml:space="preserve">Capitão de Mar e Guerra (IM) </w:t>
      </w:r>
    </w:p>
    <w:p>
      <w:pPr>
        <w:pStyle w:val="Normal"/>
        <w:suppressAutoHyphens w:val="false"/>
        <w:bidi w:val="0"/>
        <w:spacing w:lineRule="auto" w:line="240" w:before="0" w:after="0"/>
        <w:ind w:left="5103" w:right="0" w:hanging="5103"/>
        <w:jc w:val="center"/>
        <w:rPr>
          <w:rFonts w:ascii="Calibri" w:hAnsi="Calibri"/>
        </w:rPr>
      </w:pPr>
      <w:r>
        <w:rPr>
          <w:rFonts w:eastAsia="Calibri" w:cs="Calibri" w:ascii="Calibri" w:hAnsi="Calibri"/>
          <w:sz w:val="20"/>
          <w:szCs w:val="20"/>
          <w:lang w:eastAsia="pt-BR"/>
        </w:rPr>
        <w:t>Ordenador de Despesa</w:t>
      </w:r>
    </w:p>
    <w:p>
      <w:pPr>
        <w:pStyle w:val="Normal"/>
        <w:numPr>
          <w:ilvl w:val="0"/>
          <w:numId w:val="0"/>
        </w:numPr>
        <w:suppressAutoHyphens w:val="false"/>
        <w:spacing w:lineRule="auto" w:line="240" w:before="86" w:after="0"/>
        <w:ind w:left="5103" w:right="0" w:hanging="5103"/>
        <w:jc w:val="center"/>
        <w:rPr>
          <w:rFonts w:ascii="Calibri" w:hAnsi="Calibri" w:cs="Arial"/>
          <w:color w:val="000000"/>
        </w:rPr>
      </w:pPr>
      <w:r>
        <w:rPr>
          <w:rFonts w:cs="Arial" w:ascii="Calibri" w:hAnsi="Calibri"/>
          <w:color w:val="000000"/>
        </w:rPr>
      </w:r>
    </w:p>
    <w:p>
      <w:pPr>
        <w:pStyle w:val="Normal"/>
        <w:jc w:val="center"/>
        <w:rPr>
          <w:rFonts w:ascii="Calibri" w:hAnsi="Calibri" w:cs="Arial"/>
          <w:b/>
          <w:b/>
          <w:bCs/>
          <w:sz w:val="20"/>
          <w:szCs w:val="20"/>
          <w:lang w:eastAsia="en-US"/>
        </w:rPr>
      </w:pPr>
      <w:r>
        <w:rPr>
          <w:rFonts w:cs="Arial" w:ascii="Calibri" w:hAnsi="Calibri"/>
          <w:b/>
          <w:bCs/>
          <w:sz w:val="20"/>
          <w:szCs w:val="20"/>
          <w:lang w:eastAsia="en-US"/>
        </w:rPr>
      </w:r>
    </w:p>
    <w:p>
      <w:pPr>
        <w:pStyle w:val="Normal"/>
        <w:jc w:val="center"/>
        <w:rPr>
          <w:rFonts w:ascii="Calibri" w:hAnsi="Calibri" w:cs="Arial"/>
          <w:b/>
          <w:b/>
          <w:bCs/>
          <w:sz w:val="20"/>
          <w:szCs w:val="20"/>
          <w:lang w:eastAsia="en-US"/>
        </w:rPr>
      </w:pPr>
      <w:r>
        <w:rPr>
          <w:rFonts w:cs="Arial" w:ascii="Calibri" w:hAnsi="Calibri"/>
          <w:b/>
          <w:bCs/>
          <w:sz w:val="20"/>
          <w:szCs w:val="20"/>
          <w:lang w:eastAsia="en-US"/>
        </w:rPr>
      </w:r>
    </w:p>
    <w:p>
      <w:pPr>
        <w:pStyle w:val="Normal"/>
        <w:jc w:val="center"/>
        <w:rPr>
          <w:rFonts w:ascii="Calibri" w:hAnsi="Calibri" w:cs="Arial"/>
          <w:b/>
          <w:b/>
          <w:bCs/>
          <w:sz w:val="20"/>
          <w:szCs w:val="20"/>
          <w:lang w:eastAsia="en-US"/>
        </w:rPr>
      </w:pPr>
      <w:r>
        <w:rPr>
          <w:rFonts w:cs="Arial" w:ascii="Calibri" w:hAnsi="Calibri"/>
          <w:b/>
          <w:bCs/>
          <w:sz w:val="20"/>
          <w:szCs w:val="20"/>
          <w:lang w:eastAsia="en-US"/>
        </w:rPr>
      </w:r>
    </w:p>
    <w:p>
      <w:pPr>
        <w:pStyle w:val="Normal"/>
        <w:jc w:val="center"/>
        <w:rPr>
          <w:rFonts w:ascii="Calibri" w:hAnsi="Calibri" w:cs="Arial"/>
          <w:b/>
          <w:b/>
          <w:bCs/>
          <w:sz w:val="20"/>
          <w:szCs w:val="20"/>
          <w:lang w:eastAsia="en-US"/>
        </w:rPr>
      </w:pPr>
      <w:r>
        <w:rPr>
          <w:rFonts w:cs="Arial" w:ascii="Calibri" w:hAnsi="Calibri"/>
          <w:b/>
          <w:bCs/>
          <w:sz w:val="20"/>
          <w:szCs w:val="20"/>
          <w:lang w:eastAsia="en-US"/>
        </w:rPr>
      </w:r>
    </w:p>
    <w:p>
      <w:pPr>
        <w:pStyle w:val="Normal"/>
        <w:jc w:val="center"/>
        <w:rPr>
          <w:rFonts w:ascii="Calibri" w:hAnsi="Calibri" w:cs="Arial"/>
          <w:b/>
          <w:b/>
          <w:bCs/>
          <w:sz w:val="20"/>
          <w:szCs w:val="20"/>
          <w:lang w:eastAsia="en-US"/>
        </w:rPr>
      </w:pPr>
      <w:r>
        <w:rPr>
          <w:rFonts w:cs="Arial" w:ascii="Calibri" w:hAnsi="Calibri"/>
          <w:b/>
          <w:bCs/>
          <w:sz w:val="20"/>
          <w:szCs w:val="20"/>
          <w:lang w:eastAsia="en-US"/>
        </w:rPr>
      </w:r>
    </w:p>
    <w:p>
      <w:pPr>
        <w:pStyle w:val="Normal"/>
        <w:jc w:val="center"/>
        <w:rPr>
          <w:rFonts w:ascii="Calibri" w:hAnsi="Calibri" w:cs="Arial"/>
          <w:b/>
          <w:b/>
          <w:bCs/>
          <w:sz w:val="20"/>
          <w:szCs w:val="20"/>
          <w:lang w:eastAsia="en-US"/>
        </w:rPr>
      </w:pPr>
      <w:r>
        <w:rPr>
          <w:rFonts w:cs="Arial" w:ascii="Calibri" w:hAnsi="Calibri"/>
          <w:b/>
          <w:bCs/>
          <w:sz w:val="20"/>
          <w:szCs w:val="20"/>
          <w:lang w:eastAsia="en-US"/>
        </w:rPr>
      </w:r>
    </w:p>
    <w:p>
      <w:pPr>
        <w:pStyle w:val="Normal"/>
        <w:jc w:val="center"/>
        <w:rPr>
          <w:rFonts w:ascii="Calibri" w:hAnsi="Calibri" w:cs="Arial"/>
          <w:b/>
          <w:b/>
          <w:bCs/>
          <w:sz w:val="20"/>
          <w:szCs w:val="20"/>
          <w:lang w:eastAsia="en-US"/>
        </w:rPr>
      </w:pPr>
      <w:r>
        <w:rPr>
          <w:rFonts w:cs="Arial" w:ascii="Calibri" w:hAnsi="Calibri"/>
          <w:b/>
          <w:bCs/>
          <w:sz w:val="20"/>
          <w:szCs w:val="20"/>
          <w:lang w:eastAsia="en-US"/>
        </w:rPr>
      </w:r>
    </w:p>
    <w:p>
      <w:pPr>
        <w:pStyle w:val="Normal"/>
        <w:jc w:val="center"/>
        <w:rPr>
          <w:rFonts w:ascii="Calibri" w:hAnsi="Calibri" w:cs="Arial"/>
          <w:b/>
          <w:b/>
          <w:bCs/>
          <w:sz w:val="20"/>
          <w:szCs w:val="20"/>
          <w:lang w:eastAsia="en-US"/>
        </w:rPr>
      </w:pPr>
      <w:r>
        <w:rPr>
          <w:rFonts w:cs="Arial" w:ascii="Calibri" w:hAnsi="Calibri"/>
          <w:b/>
          <w:bCs/>
          <w:sz w:val="20"/>
          <w:szCs w:val="20"/>
          <w:lang w:eastAsia="en-US"/>
        </w:rPr>
      </w:r>
    </w:p>
    <w:p>
      <w:pPr>
        <w:pStyle w:val="Normal"/>
        <w:jc w:val="center"/>
        <w:rPr>
          <w:rFonts w:ascii="Calibri" w:hAnsi="Calibri" w:cs="Arial"/>
          <w:b/>
          <w:b/>
          <w:bCs/>
          <w:sz w:val="20"/>
          <w:szCs w:val="20"/>
          <w:lang w:eastAsia="en-US"/>
        </w:rPr>
      </w:pPr>
      <w:r>
        <w:rPr>
          <w:rFonts w:cs="Arial" w:ascii="Calibri" w:hAnsi="Calibri"/>
          <w:b/>
          <w:bCs/>
          <w:sz w:val="20"/>
          <w:szCs w:val="20"/>
          <w:lang w:eastAsia="en-US"/>
        </w:rPr>
      </w:r>
    </w:p>
    <w:p>
      <w:pPr>
        <w:pStyle w:val="Normal"/>
        <w:jc w:val="center"/>
        <w:rPr>
          <w:rFonts w:ascii="Calibri" w:hAnsi="Calibri" w:cs="Arial"/>
          <w:b/>
          <w:b/>
          <w:bCs/>
          <w:sz w:val="20"/>
          <w:szCs w:val="20"/>
          <w:lang w:eastAsia="en-US"/>
        </w:rPr>
      </w:pPr>
      <w:r>
        <w:rPr>
          <w:rFonts w:cs="Arial" w:ascii="Calibri" w:hAnsi="Calibri"/>
          <w:b/>
          <w:bCs/>
          <w:sz w:val="20"/>
          <w:szCs w:val="20"/>
          <w:lang w:eastAsia="en-US"/>
        </w:rPr>
      </w:r>
    </w:p>
    <w:p>
      <w:pPr>
        <w:pStyle w:val="Normal"/>
        <w:jc w:val="center"/>
        <w:rPr>
          <w:rFonts w:ascii="Calibri" w:hAnsi="Calibri" w:cs="Arial"/>
          <w:b/>
          <w:b/>
          <w:bCs/>
          <w:sz w:val="20"/>
          <w:szCs w:val="20"/>
          <w:lang w:eastAsia="en-US"/>
        </w:rPr>
      </w:pPr>
      <w:r>
        <w:rPr>
          <w:rFonts w:cs="Arial" w:ascii="Calibri" w:hAnsi="Calibri"/>
          <w:b/>
          <w:bCs/>
          <w:sz w:val="20"/>
          <w:szCs w:val="20"/>
          <w:lang w:eastAsia="en-US"/>
        </w:rPr>
      </w:r>
    </w:p>
    <w:p>
      <w:pPr>
        <w:pStyle w:val="Normal"/>
        <w:jc w:val="center"/>
        <w:rPr>
          <w:rFonts w:ascii="Calibri" w:hAnsi="Calibri" w:cs="Arial"/>
          <w:b/>
          <w:b/>
          <w:bCs/>
          <w:sz w:val="20"/>
          <w:szCs w:val="20"/>
          <w:lang w:eastAsia="en-US"/>
        </w:rPr>
      </w:pPr>
      <w:r>
        <w:rPr>
          <w:rFonts w:cs="Arial" w:ascii="Calibri" w:hAnsi="Calibri"/>
          <w:b/>
          <w:bCs/>
          <w:sz w:val="20"/>
          <w:szCs w:val="20"/>
          <w:lang w:eastAsia="en-US"/>
        </w:rPr>
      </w:r>
    </w:p>
    <w:p>
      <w:pPr>
        <w:pStyle w:val="Normal"/>
        <w:jc w:val="center"/>
        <w:rPr>
          <w:rFonts w:ascii="Calibri" w:hAnsi="Calibri" w:cs="Arial"/>
          <w:b/>
          <w:b/>
          <w:bCs/>
          <w:sz w:val="20"/>
          <w:szCs w:val="20"/>
          <w:lang w:eastAsia="en-US"/>
        </w:rPr>
      </w:pPr>
      <w:r>
        <w:rPr>
          <w:rFonts w:cs="Arial" w:ascii="Calibri" w:hAnsi="Calibri"/>
          <w:b/>
          <w:bCs/>
          <w:sz w:val="20"/>
          <w:szCs w:val="20"/>
          <w:lang w:eastAsia="en-US"/>
        </w:rPr>
      </w:r>
    </w:p>
    <w:p>
      <w:pPr>
        <w:pStyle w:val="Normal"/>
        <w:jc w:val="center"/>
        <w:rPr>
          <w:rFonts w:ascii="Calibri" w:hAnsi="Calibri" w:cs="Arial"/>
          <w:b/>
          <w:b/>
          <w:bCs/>
          <w:sz w:val="20"/>
          <w:szCs w:val="20"/>
          <w:lang w:eastAsia="en-US"/>
        </w:rPr>
      </w:pPr>
      <w:r>
        <w:rPr>
          <w:rFonts w:cs="Arial" w:ascii="Calibri" w:hAnsi="Calibri"/>
          <w:b/>
          <w:bCs/>
          <w:sz w:val="20"/>
          <w:szCs w:val="20"/>
          <w:lang w:eastAsia="en-US"/>
        </w:rPr>
      </w:r>
    </w:p>
    <w:p>
      <w:pPr>
        <w:pStyle w:val="Normal"/>
        <w:jc w:val="center"/>
        <w:rPr>
          <w:rFonts w:ascii="Calibri" w:hAnsi="Calibri"/>
        </w:rPr>
      </w:pPr>
      <w:r>
        <w:rPr>
          <w:rFonts w:cs="Arial" w:ascii="Calibri" w:hAnsi="Calibri"/>
          <w:b/>
          <w:bCs/>
          <w:sz w:val="20"/>
          <w:szCs w:val="20"/>
          <w:lang w:eastAsia="en-US"/>
        </w:rPr>
        <w:t>ANEXO I – DOCUMENTAÇÃO EXIGIDA PARA HABILITAÇÃO</w:t>
      </w:r>
    </w:p>
    <w:p>
      <w:pPr>
        <w:pStyle w:val="Normal"/>
        <w:rPr>
          <w:rFonts w:ascii="Calibri" w:hAnsi="Calibri" w:cs="Arial"/>
          <w:sz w:val="20"/>
          <w:szCs w:val="20"/>
          <w:lang w:eastAsia="en-US"/>
        </w:rPr>
      </w:pPr>
      <w:r>
        <w:rPr>
          <w:rFonts w:cs="Arial" w:ascii="Calibri" w:hAnsi="Calibri"/>
          <w:sz w:val="20"/>
          <w:szCs w:val="20"/>
          <w:lang w:eastAsia="en-US"/>
        </w:rPr>
      </w:r>
    </w:p>
    <w:p>
      <w:pPr>
        <w:pStyle w:val="PADRO"/>
        <w:keepNext/>
        <w:widowControl/>
        <w:numPr>
          <w:ilvl w:val="0"/>
          <w:numId w:val="3"/>
        </w:numPr>
        <w:shd w:val="clear" w:fill="FFFFFF"/>
        <w:spacing w:before="120" w:after="120"/>
        <w:rPr>
          <w:rFonts w:ascii="Calibri" w:hAnsi="Calibri"/>
        </w:rPr>
      </w:pPr>
      <w:r>
        <w:rPr>
          <w:rFonts w:cs="Arial" w:ascii="Calibri" w:hAnsi="Calibri"/>
          <w:b/>
          <w:bCs/>
          <w:color w:val="000000"/>
          <w:sz w:val="20"/>
          <w:szCs w:val="20"/>
        </w:rPr>
        <w:t xml:space="preserve">Habilitação jurídica: </w:t>
      </w:r>
    </w:p>
    <w:p>
      <w:pPr>
        <w:pStyle w:val="Normal"/>
        <w:numPr>
          <w:ilvl w:val="1"/>
          <w:numId w:val="3"/>
        </w:numPr>
        <w:tabs>
          <w:tab w:val="left" w:pos="1440" w:leader="none"/>
        </w:tabs>
        <w:snapToGrid w:val="false"/>
        <w:spacing w:lineRule="auto" w:line="276" w:before="120" w:after="120"/>
        <w:jc w:val="both"/>
        <w:rPr>
          <w:rFonts w:ascii="Calibri" w:hAnsi="Calibri"/>
        </w:rPr>
      </w:pPr>
      <w:r>
        <w:rPr>
          <w:rFonts w:cs="Arial" w:ascii="Calibri" w:hAnsi="Calibri"/>
          <w:sz w:val="20"/>
          <w:szCs w:val="20"/>
        </w:rPr>
        <w:t>no caso de empresário individual, inscrição no Registro Público de Empresas Mercantis, a cargo da Junta Comercial da respectiva sede;</w:t>
      </w:r>
    </w:p>
    <w:p>
      <w:pPr>
        <w:pStyle w:val="ListParagraph"/>
        <w:numPr>
          <w:ilvl w:val="1"/>
          <w:numId w:val="3"/>
        </w:numPr>
        <w:tabs>
          <w:tab w:val="left" w:pos="1440" w:leader="none"/>
        </w:tabs>
        <w:snapToGrid w:val="false"/>
        <w:spacing w:lineRule="auto" w:line="276" w:before="120" w:after="120"/>
        <w:jc w:val="both"/>
        <w:rPr>
          <w:rFonts w:ascii="Calibri" w:hAnsi="Calibri"/>
        </w:rPr>
      </w:pPr>
      <w:r>
        <w:rPr>
          <w:rFonts w:cs="Arial" w:ascii="Calibri" w:hAnsi="Calibri"/>
          <w:color w:val="000000"/>
          <w:sz w:val="20"/>
          <w:szCs w:val="20"/>
        </w:rPr>
        <w:t>Em se tratando de Microempreendedor Individual – MEI: Certificado da Condição de Microempreendedor Individual - CCMEI, cuja aceitação ficará condicionada à verificação da autenticidade no sítio www.portaldoempreendedor.gov.br;</w:t>
      </w:r>
    </w:p>
    <w:p>
      <w:pPr>
        <w:pStyle w:val="Normal"/>
        <w:numPr>
          <w:ilvl w:val="1"/>
          <w:numId w:val="3"/>
        </w:numPr>
        <w:tabs>
          <w:tab w:val="left" w:pos="1440" w:leader="none"/>
        </w:tabs>
        <w:snapToGrid w:val="false"/>
        <w:spacing w:lineRule="auto" w:line="276" w:before="120" w:after="120"/>
        <w:jc w:val="both"/>
        <w:rPr>
          <w:rFonts w:ascii="Calibri" w:hAnsi="Calibri"/>
        </w:rPr>
      </w:pPr>
      <w:r>
        <w:rPr>
          <w:rFonts w:cs="Arial" w:ascii="Calibri" w:hAnsi="Calibri"/>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Normal"/>
        <w:numPr>
          <w:ilvl w:val="1"/>
          <w:numId w:val="3"/>
        </w:numPr>
        <w:tabs>
          <w:tab w:val="left" w:pos="1440" w:leader="none"/>
        </w:tabs>
        <w:snapToGrid w:val="false"/>
        <w:spacing w:lineRule="auto" w:line="276" w:before="120" w:after="120"/>
        <w:jc w:val="both"/>
        <w:rPr>
          <w:rFonts w:ascii="Calibri" w:hAnsi="Calibri"/>
        </w:rPr>
      </w:pPr>
      <w:r>
        <w:rPr>
          <w:rFonts w:cs="Arial" w:ascii="Calibri" w:hAnsi="Calibri"/>
          <w:color w:val="000000"/>
          <w:sz w:val="20"/>
          <w:szCs w:val="20"/>
        </w:rPr>
        <w:t>inscrição no Registro Público de Empresas Mercantis onde opera, com averbação no Registro onde tem sede a matriz, no caso de ser o participante sucursal, filial ou agência;</w:t>
      </w:r>
    </w:p>
    <w:p>
      <w:pPr>
        <w:pStyle w:val="Normal"/>
        <w:numPr>
          <w:ilvl w:val="1"/>
          <w:numId w:val="3"/>
        </w:numPr>
        <w:tabs>
          <w:tab w:val="left" w:pos="1440" w:leader="none"/>
        </w:tabs>
        <w:snapToGrid w:val="false"/>
        <w:spacing w:lineRule="auto" w:line="276" w:before="120" w:after="120"/>
        <w:jc w:val="both"/>
        <w:rPr>
          <w:rFonts w:ascii="Calibri" w:hAnsi="Calibri"/>
        </w:rPr>
      </w:pPr>
      <w:r>
        <w:rPr>
          <w:rFonts w:cs="Arial" w:ascii="Calibri" w:hAnsi="Calibri"/>
          <w:color w:val="000000"/>
          <w:sz w:val="20"/>
          <w:szCs w:val="20"/>
        </w:rPr>
        <w:t>No caso de sociedade simples: inscrição do ato constitutivo no Registro Civil das Pes</w:t>
      </w:r>
      <w:r>
        <w:rPr>
          <w:rFonts w:cs="Arial" w:ascii="Calibri" w:hAnsi="Calibri"/>
          <w:color w:val="000000"/>
          <w:szCs w:val="20"/>
        </w:rPr>
        <w:t>soas Jurídicas do local de sua sede, acompanhada de prova da indicação dos seus administradores;</w:t>
      </w:r>
    </w:p>
    <w:p>
      <w:pPr>
        <w:pStyle w:val="Normal"/>
        <w:numPr>
          <w:ilvl w:val="1"/>
          <w:numId w:val="3"/>
        </w:numPr>
        <w:tabs>
          <w:tab w:val="left" w:pos="1440" w:leader="none"/>
        </w:tabs>
        <w:snapToGrid w:val="false"/>
        <w:spacing w:lineRule="auto" w:line="276" w:before="120" w:after="120"/>
        <w:jc w:val="both"/>
        <w:rPr>
          <w:rFonts w:ascii="Calibri" w:hAnsi="Calibri"/>
        </w:rPr>
      </w:pPr>
      <w:r>
        <w:rPr>
          <w:rFonts w:cs="Arial" w:ascii="Calibri" w:hAnsi="Calibri"/>
          <w:color w:val="000000"/>
          <w:szCs w:val="20"/>
        </w:rPr>
        <w:t>decreto de autorização, em se tratando de sociedade empresária estrangeira em funcionamento no País;</w:t>
      </w:r>
    </w:p>
    <w:p>
      <w:pPr>
        <w:pStyle w:val="ListParagraph"/>
        <w:numPr>
          <w:ilvl w:val="1"/>
          <w:numId w:val="3"/>
        </w:numPr>
        <w:spacing w:lineRule="auto" w:line="276" w:before="120" w:after="120"/>
        <w:jc w:val="both"/>
        <w:rPr>
          <w:rFonts w:ascii="Calibri" w:hAnsi="Calibri"/>
        </w:rPr>
      </w:pPr>
      <w:r>
        <w:rPr>
          <w:rFonts w:cs="Arial" w:ascii="Calibri" w:hAnsi="Calibri"/>
          <w:bCs/>
          <w:color w:val="000000"/>
          <w:szCs w:val="20"/>
        </w:rPr>
        <w:t>Os documentos acima deverão estar acompanhados de todas as alterações ou da consolidação respectiva.</w:t>
      </w:r>
    </w:p>
    <w:p>
      <w:pPr>
        <w:pStyle w:val="PADRO"/>
        <w:keepNext/>
        <w:widowControl/>
        <w:numPr>
          <w:ilvl w:val="0"/>
          <w:numId w:val="3"/>
        </w:numPr>
        <w:shd w:val="clear" w:fill="FFFFFF"/>
        <w:spacing w:before="120" w:after="120"/>
        <w:rPr>
          <w:rFonts w:ascii="Calibri" w:hAnsi="Calibri"/>
        </w:rPr>
      </w:pPr>
      <w:r>
        <w:rPr>
          <w:rFonts w:cs="Arial" w:ascii="Calibri" w:hAnsi="Calibri"/>
          <w:b/>
          <w:bCs/>
          <w:color w:val="000000"/>
          <w:szCs w:val="20"/>
        </w:rPr>
        <w:t xml:space="preserve"> </w:t>
      </w:r>
      <w:r>
        <w:rPr>
          <w:rFonts w:cs="Arial" w:ascii="Calibri" w:hAnsi="Calibri"/>
          <w:b/>
          <w:bCs/>
          <w:color w:val="000000"/>
          <w:szCs w:val="20"/>
        </w:rPr>
        <w:t>Regularidade fiscal, social e trabalhista:</w:t>
      </w:r>
    </w:p>
    <w:p>
      <w:pPr>
        <w:pStyle w:val="Normal"/>
        <w:numPr>
          <w:ilvl w:val="1"/>
          <w:numId w:val="3"/>
        </w:numPr>
        <w:tabs>
          <w:tab w:val="left" w:pos="1440" w:leader="none"/>
        </w:tabs>
        <w:snapToGrid w:val="false"/>
        <w:spacing w:lineRule="auto" w:line="276" w:before="120" w:after="120"/>
        <w:jc w:val="both"/>
        <w:rPr>
          <w:rFonts w:ascii="Calibri" w:hAnsi="Calibri"/>
        </w:rPr>
      </w:pPr>
      <w:r>
        <w:rPr>
          <w:rFonts w:cs="Arial" w:ascii="Calibri" w:hAnsi="Calibri"/>
          <w:szCs w:val="20"/>
          <w:lang w:eastAsia="en-US"/>
        </w:rPr>
        <w:t>prova de inscrição no Cadastro Nacional de Pessoas Jurídicas ou no Cadastro de Pessoas Físicas, conforme o caso;</w:t>
      </w:r>
    </w:p>
    <w:p>
      <w:pPr>
        <w:pStyle w:val="Normal"/>
        <w:numPr>
          <w:ilvl w:val="1"/>
          <w:numId w:val="3"/>
        </w:numPr>
        <w:tabs>
          <w:tab w:val="left" w:pos="1440" w:leader="none"/>
        </w:tabs>
        <w:snapToGrid w:val="false"/>
        <w:spacing w:lineRule="auto" w:line="276" w:before="120" w:after="120"/>
        <w:jc w:val="both"/>
        <w:rPr>
          <w:rFonts w:ascii="Calibri" w:hAnsi="Calibri"/>
        </w:rPr>
      </w:pPr>
      <w:r>
        <w:rPr>
          <w:rFonts w:cs="Arial" w:ascii="Calibri" w:hAnsi="Calibri"/>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3"/>
        </w:numPr>
        <w:tabs>
          <w:tab w:val="left" w:pos="1440" w:leader="none"/>
        </w:tabs>
        <w:snapToGrid w:val="false"/>
        <w:spacing w:lineRule="auto" w:line="276" w:before="120" w:after="120"/>
        <w:jc w:val="both"/>
        <w:rPr>
          <w:rFonts w:ascii="Calibri" w:hAnsi="Calibri"/>
        </w:rPr>
      </w:pPr>
      <w:r>
        <w:rPr>
          <w:rFonts w:cs="Arial" w:ascii="Calibri" w:hAnsi="Calibri"/>
          <w:color w:val="000000"/>
          <w:szCs w:val="20"/>
          <w:lang w:eastAsia="en-US"/>
        </w:rPr>
        <w:t>prova de regularidade com o Fundo de Garantia do Tempo de Serviço (FGTS);</w:t>
      </w:r>
    </w:p>
    <w:p>
      <w:pPr>
        <w:pStyle w:val="Normal"/>
        <w:numPr>
          <w:ilvl w:val="1"/>
          <w:numId w:val="3"/>
        </w:numPr>
        <w:tabs>
          <w:tab w:val="left" w:pos="1440" w:leader="none"/>
        </w:tabs>
        <w:snapToGrid w:val="false"/>
        <w:spacing w:lineRule="auto" w:line="276" w:before="120" w:after="120"/>
        <w:jc w:val="both"/>
        <w:rPr>
          <w:rFonts w:ascii="Calibri" w:hAnsi="Calibri"/>
        </w:rPr>
      </w:pPr>
      <w:r>
        <w:rPr>
          <w:rFonts w:cs="Arial" w:ascii="Calibri" w:hAnsi="Calibri"/>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1"/>
          <w:numId w:val="3"/>
        </w:numPr>
        <w:tabs>
          <w:tab w:val="left" w:pos="1440" w:leader="none"/>
        </w:tabs>
        <w:snapToGrid w:val="false"/>
        <w:spacing w:lineRule="auto" w:line="276" w:before="120" w:after="120"/>
        <w:jc w:val="both"/>
        <w:rPr>
          <w:rFonts w:ascii="Calibri" w:hAnsi="Calibri"/>
        </w:rPr>
      </w:pPr>
      <w:r>
        <w:rPr>
          <w:rFonts w:cs="Arial" w:ascii="Calibri" w:hAnsi="Calibri"/>
          <w:bCs/>
          <w:szCs w:val="20"/>
        </w:rPr>
        <w:t xml:space="preserve">prova de </w:t>
      </w:r>
      <w:r>
        <w:rPr>
          <w:rFonts w:cs="Arial" w:ascii="Calibri" w:hAnsi="Calibri"/>
          <w:color w:val="000000"/>
          <w:szCs w:val="20"/>
        </w:rPr>
        <w:t>inscrição no cadastro de contribuin</w:t>
      </w:r>
      <w:r>
        <w:rPr>
          <w:rFonts w:cs="Arial" w:ascii="Calibri" w:hAnsi="Calibri"/>
          <w:i w:val="false"/>
          <w:iCs w:val="false"/>
          <w:color w:val="000000"/>
          <w:szCs w:val="20"/>
        </w:rPr>
        <w:t>tes estadual e/ou municipal, relativo</w:t>
      </w:r>
      <w:r>
        <w:rPr>
          <w:rFonts w:cs="Arial" w:ascii="Calibri" w:hAnsi="Calibri"/>
          <w:color w:val="000000"/>
          <w:szCs w:val="20"/>
        </w:rPr>
        <w:t xml:space="preserve"> ao domicílio ou sede do fornecedor, pertinente ao seu ramo de atividade e compatível com o objeto contratual</w:t>
      </w:r>
      <w:r>
        <w:rPr>
          <w:rFonts w:cs="Arial" w:ascii="Calibri" w:hAnsi="Calibri"/>
          <w:bCs/>
          <w:szCs w:val="20"/>
        </w:rPr>
        <w:t xml:space="preserve">; </w:t>
      </w:r>
    </w:p>
    <w:p>
      <w:pPr>
        <w:pStyle w:val="Normal"/>
        <w:numPr>
          <w:ilvl w:val="1"/>
          <w:numId w:val="3"/>
        </w:numPr>
        <w:tabs>
          <w:tab w:val="left" w:pos="1440" w:leader="none"/>
        </w:tabs>
        <w:snapToGrid w:val="false"/>
        <w:spacing w:lineRule="auto" w:line="276" w:before="120" w:after="120"/>
        <w:jc w:val="both"/>
        <w:rPr>
          <w:rFonts w:ascii="Calibri" w:hAnsi="Calibri"/>
        </w:rPr>
      </w:pPr>
      <w:r>
        <w:rPr>
          <w:rFonts w:cs="Arial" w:ascii="Calibri" w:hAnsi="Calibri"/>
          <w:szCs w:val="20"/>
        </w:rPr>
        <w:t>prova de regularidade com a Faz</w:t>
      </w:r>
      <w:r>
        <w:rPr>
          <w:rFonts w:cs="Arial" w:ascii="Calibri" w:hAnsi="Calibri"/>
          <w:i w:val="false"/>
          <w:iCs w:val="false"/>
          <w:color w:val="000000"/>
          <w:szCs w:val="20"/>
        </w:rPr>
        <w:t>enda Estadual e/ou Municipal do d</w:t>
      </w:r>
      <w:r>
        <w:rPr>
          <w:rFonts w:cs="Arial" w:ascii="Calibri" w:hAnsi="Calibri"/>
          <w:szCs w:val="20"/>
        </w:rPr>
        <w:t xml:space="preserve">omicílio ou sede do fornecedor, relativa à atividade em cujo exercício contrata ou concorre; </w:t>
      </w:r>
    </w:p>
    <w:p>
      <w:pPr>
        <w:pStyle w:val="Normal"/>
        <w:numPr>
          <w:ilvl w:val="1"/>
          <w:numId w:val="3"/>
        </w:numPr>
        <w:tabs>
          <w:tab w:val="left" w:pos="1440" w:leader="none"/>
        </w:tabs>
        <w:snapToGrid w:val="false"/>
        <w:spacing w:lineRule="auto" w:line="276" w:before="120" w:after="120"/>
        <w:jc w:val="both"/>
        <w:rPr>
          <w:rFonts w:ascii="Calibri" w:hAnsi="Calibri"/>
        </w:rPr>
      </w:pPr>
      <w:r>
        <w:rPr>
          <w:rFonts w:cs="Arial" w:ascii="Calibri" w:hAnsi="Calibri"/>
          <w:szCs w:val="20"/>
        </w:rPr>
        <w:t>caso o fornecedor seja considerado isento dos trib</w:t>
      </w:r>
      <w:r>
        <w:rPr>
          <w:rFonts w:cs="Arial" w:ascii="Calibri" w:hAnsi="Calibri"/>
          <w:i w:val="false"/>
          <w:iCs w:val="false"/>
          <w:color w:val="000000"/>
          <w:szCs w:val="20"/>
        </w:rPr>
        <w:t xml:space="preserve">utos estaduais </w:t>
      </w:r>
      <w:r>
        <w:rPr>
          <w:rFonts w:cs="Arial" w:ascii="Calibri" w:hAnsi="Calibri"/>
          <w:b w:val="false"/>
          <w:bCs w:val="false"/>
          <w:i w:val="false"/>
          <w:iCs w:val="false"/>
          <w:color w:val="000000"/>
          <w:szCs w:val="20"/>
          <w:u w:val="none"/>
        </w:rPr>
        <w:t>ou</w:t>
      </w:r>
      <w:r>
        <w:rPr>
          <w:rFonts w:cs="Arial" w:ascii="Calibri" w:hAnsi="Calibri"/>
          <w:b/>
          <w:i w:val="false"/>
          <w:iCs w:val="false"/>
          <w:color w:val="000000"/>
          <w:szCs w:val="20"/>
          <w:u w:val="none"/>
        </w:rPr>
        <w:t xml:space="preserve"> </w:t>
      </w:r>
      <w:r>
        <w:rPr>
          <w:rFonts w:cs="Arial" w:ascii="Calibri" w:hAnsi="Calibri"/>
          <w:i w:val="false"/>
          <w:iCs w:val="false"/>
          <w:color w:val="000000"/>
          <w:szCs w:val="20"/>
        </w:rPr>
        <w:t>municipais rela</w:t>
      </w:r>
      <w:r>
        <w:rPr>
          <w:rFonts w:cs="Arial" w:ascii="Calibri" w:hAnsi="Calibri"/>
          <w:szCs w:val="20"/>
        </w:rPr>
        <w:t xml:space="preserve">cionados ao objeto contratual, deverá comprovar tal condição mediante a apresentação de declaração da Fazenda respectiva do seu domicílio ou sede, ou outra equivalente, na forma da lei; </w:t>
      </w:r>
    </w:p>
    <w:p>
      <w:pPr>
        <w:pStyle w:val="PADRO"/>
        <w:keepNext/>
        <w:widowControl/>
        <w:numPr>
          <w:ilvl w:val="0"/>
          <w:numId w:val="3"/>
        </w:numPr>
        <w:shd w:val="clear" w:fill="FFFFFF"/>
        <w:spacing w:before="120" w:after="120"/>
        <w:rPr>
          <w:rFonts w:ascii="Calibri" w:hAnsi="Calibri"/>
        </w:rPr>
      </w:pPr>
      <w:r>
        <w:rPr>
          <w:rFonts w:cs="Arial" w:ascii="Calibri" w:hAnsi="Calibri"/>
          <w:b/>
          <w:color w:val="000000"/>
          <w:szCs w:val="20"/>
        </w:rPr>
        <w:t>Qualificação Econômico-Financeira:</w:t>
      </w:r>
    </w:p>
    <w:p>
      <w:pPr>
        <w:pStyle w:val="ListParagraph"/>
        <w:numPr>
          <w:ilvl w:val="1"/>
          <w:numId w:val="3"/>
        </w:numPr>
        <w:tabs>
          <w:tab w:val="left" w:pos="1440" w:leader="none"/>
        </w:tabs>
        <w:snapToGrid w:val="false"/>
        <w:spacing w:lineRule="auto" w:line="276" w:before="120" w:after="120"/>
        <w:jc w:val="both"/>
        <w:rPr>
          <w:rFonts w:ascii="Calibri" w:hAnsi="Calibri"/>
        </w:rPr>
      </w:pPr>
      <w:r>
        <w:rPr>
          <w:rFonts w:cs="Arial" w:ascii="Calibri" w:hAnsi="Calibri"/>
          <w:color w:val="000000"/>
          <w:szCs w:val="20"/>
        </w:rPr>
        <w:t>certidão negativa de falência expedida pelo distribuidor da sede do fornecedor;</w:t>
      </w:r>
    </w:p>
    <w:p>
      <w:pPr>
        <w:pStyle w:val="Normal"/>
        <w:numPr>
          <w:ilvl w:val="1"/>
          <w:numId w:val="3"/>
        </w:numPr>
        <w:tabs>
          <w:tab w:val="left" w:pos="1440" w:leader="none"/>
        </w:tabs>
        <w:snapToGrid w:val="false"/>
        <w:spacing w:lineRule="auto" w:line="276" w:before="120" w:after="120"/>
        <w:jc w:val="both"/>
        <w:rPr>
          <w:rFonts w:ascii="Calibri" w:hAnsi="Calibri"/>
        </w:rPr>
      </w:pPr>
      <w:r>
        <w:rPr>
          <w:rFonts w:cs="Arial" w:ascii="Calibri" w:hAnsi="Calibri"/>
          <w:color w:val="000000"/>
          <w:szCs w:val="20"/>
        </w:rPr>
        <w:t>balanço patrimonial, demonstração de resultado de exercício e demais demonstrações contábeis dos 2 (dois) últimos exercícios sociais;</w:t>
      </w:r>
    </w:p>
    <w:p>
      <w:pPr>
        <w:pStyle w:val="Normal"/>
        <w:numPr>
          <w:ilvl w:val="2"/>
          <w:numId w:val="3"/>
        </w:numPr>
        <w:spacing w:lineRule="auto" w:line="276" w:before="120" w:after="120"/>
        <w:jc w:val="both"/>
        <w:rPr>
          <w:rFonts w:ascii="Calibri" w:hAnsi="Calibri"/>
        </w:rPr>
      </w:pPr>
      <w:r>
        <w:rPr>
          <w:rFonts w:cs="Arial" w:ascii="Calibri" w:hAnsi="Calibri"/>
          <w:color w:val="000000"/>
          <w:szCs w:val="20"/>
        </w:rPr>
        <w:t>As empresas criadas no exercício financeiro da dispensa deverão atender a todas as exigências da habilitação e poderão substituir os demonstrativos contábeis pelo balanço de abertura.</w:t>
      </w:r>
    </w:p>
    <w:p>
      <w:pPr>
        <w:pStyle w:val="Normal"/>
        <w:numPr>
          <w:ilvl w:val="2"/>
          <w:numId w:val="3"/>
        </w:numPr>
        <w:spacing w:lineRule="auto" w:line="276" w:before="120" w:after="120"/>
        <w:jc w:val="both"/>
        <w:rPr>
          <w:rFonts w:ascii="Calibri" w:hAnsi="Calibri"/>
        </w:rPr>
      </w:pPr>
      <w:r>
        <w:rPr>
          <w:rFonts w:cs="Arial" w:ascii="Calibri" w:hAnsi="Calibri"/>
          <w:color w:val="000000"/>
          <w:szCs w:val="20"/>
        </w:rPr>
        <w:t>Os documentos referidos acima limitar-se-ão ao último exercício no caso de a pessoa jurídica ter sido constituída há menos de 2 (dois) anos.</w:t>
      </w:r>
    </w:p>
    <w:p>
      <w:pPr>
        <w:pStyle w:val="Normal"/>
        <w:numPr>
          <w:ilvl w:val="1"/>
          <w:numId w:val="3"/>
        </w:numPr>
        <w:tabs>
          <w:tab w:val="left" w:pos="1440" w:leader="none"/>
        </w:tabs>
        <w:snapToGrid w:val="false"/>
        <w:spacing w:lineRule="auto" w:line="276" w:before="120" w:after="120"/>
        <w:jc w:val="both"/>
        <w:rPr>
          <w:rFonts w:ascii="Calibri" w:hAnsi="Calibri"/>
        </w:rPr>
      </w:pPr>
      <w:r>
        <w:rPr>
          <w:rFonts w:cs="Arial" w:ascii="Calibri" w:hAnsi="Calibri"/>
          <w:color w:val="000000"/>
          <w:szCs w:val="20"/>
        </w:rPr>
        <w:t xml:space="preserve">comprovação da boa situação financeira da empresa mediante obtenção de índices de Liquidez Geral (LG), Solvência Geral (SG) e Liquidez Corrente (LC), superiores a 1 (um), obtidos pela aplicação das seguintes fórmulas: </w:t>
      </w:r>
    </w:p>
    <w:tbl>
      <w:tblPr>
        <w:tblStyle w:val="Tabelacomgrade"/>
        <w:tblW w:w="6487" w:type="dxa"/>
        <w:jc w:val="left"/>
        <w:tblInd w:w="1132" w:type="dxa"/>
        <w:tblCellMar>
          <w:top w:w="0" w:type="dxa"/>
          <w:left w:w="138" w:type="dxa"/>
          <w:bottom w:w="0" w:type="dxa"/>
          <w:right w:w="108" w:type="dxa"/>
        </w:tblCellMar>
        <w:tblLook w:val="04a0"/>
      </w:tblPr>
      <w:tblGrid>
        <w:gridCol w:w="2234"/>
        <w:gridCol w:w="4252"/>
      </w:tblGrid>
      <w:tr>
        <w:trPr/>
        <w:tc>
          <w:tcPr>
            <w:tcW w:w="2234" w:type="dxa"/>
            <w:vMerge w:val="restart"/>
            <w:tcBorders>
              <w:top w:val="nil"/>
              <w:left w:val="nil"/>
              <w:bottom w:val="nil"/>
              <w:right w:val="nil"/>
              <w:insideH w:val="nil"/>
              <w:insideV w:val="nil"/>
            </w:tcBorders>
            <w:shd w:fill="auto" w:val="clear"/>
            <w:vAlign w:val="center"/>
          </w:tcPr>
          <w:p>
            <w:pPr>
              <w:pStyle w:val="Normal"/>
              <w:tabs>
                <w:tab w:val="left" w:pos="1440" w:leader="none"/>
              </w:tabs>
              <w:snapToGrid w:val="false"/>
              <w:spacing w:lineRule="auto" w:line="276" w:before="0" w:after="0"/>
              <w:jc w:val="both"/>
              <w:rPr>
                <w:rFonts w:ascii="Calibri" w:hAnsi="Calibri"/>
              </w:rPr>
            </w:pPr>
            <w:r>
              <w:rPr>
                <w:rFonts w:eastAsia="" w:cs="Arial" w:ascii="Calibri" w:hAnsi="Calibri"/>
                <w:color w:val="000000"/>
                <w:szCs w:val="20"/>
              </w:rPr>
              <w:t>LG =</w:t>
            </w:r>
          </w:p>
        </w:tc>
        <w:tc>
          <w:tcPr>
            <w:tcW w:w="4252" w:type="dxa"/>
            <w:tcBorders>
              <w:top w:val="nil"/>
              <w:left w:val="nil"/>
              <w:right w:val="nil"/>
              <w:insideV w:val="nil"/>
            </w:tcBorders>
            <w:shd w:fill="auto" w:val="clear"/>
            <w:vAlign w:val="bottom"/>
          </w:tcPr>
          <w:p>
            <w:pPr>
              <w:pStyle w:val="Normal"/>
              <w:tabs>
                <w:tab w:val="left" w:pos="1440" w:leader="none"/>
              </w:tabs>
              <w:snapToGrid w:val="false"/>
              <w:spacing w:lineRule="auto" w:line="276" w:before="0" w:after="0"/>
              <w:jc w:val="both"/>
              <w:rPr>
                <w:rFonts w:ascii="Calibri" w:hAnsi="Calibri"/>
              </w:rPr>
            </w:pPr>
            <w:r>
              <w:rPr>
                <w:rFonts w:eastAsia="" w:cs="Arial" w:ascii="Calibri" w:hAnsi="Calibri"/>
                <w:color w:val="000000"/>
                <w:szCs w:val="20"/>
              </w:rPr>
              <w:t>Ativo Circulante + Realizável a Longo Prazo</w:t>
            </w:r>
          </w:p>
        </w:tc>
      </w:tr>
      <w:tr>
        <w:trPr/>
        <w:tc>
          <w:tcPr>
            <w:tcW w:w="2234" w:type="dxa"/>
            <w:vMerge w:val="continue"/>
            <w:tcBorders>
              <w:top w:val="nil"/>
              <w:left w:val="nil"/>
              <w:bottom w:val="nil"/>
              <w:right w:val="nil"/>
              <w:insideH w:val="nil"/>
              <w:insideV w:val="nil"/>
            </w:tcBorders>
            <w:shd w:fill="auto" w:val="clear"/>
          </w:tcPr>
          <w:p>
            <w:pPr>
              <w:pStyle w:val="Normal"/>
              <w:tabs>
                <w:tab w:val="left" w:pos="1440" w:leader="none"/>
              </w:tabs>
              <w:snapToGrid w:val="false"/>
              <w:spacing w:lineRule="auto" w:line="276" w:before="0" w:after="0"/>
              <w:jc w:val="both"/>
              <w:rPr>
                <w:rFonts w:ascii="Calibri" w:hAnsi="Calibri" w:eastAsia="" w:cs="Times New Roman" w:eastAsiaTheme="minorEastAsia"/>
                <w:color w:val="000000"/>
                <w:szCs w:val="20"/>
              </w:rPr>
            </w:pPr>
            <w:r>
              <w:rPr>
                <w:rFonts w:eastAsia="" w:cs="Times New Roman" w:eastAsiaTheme="minorEastAsia" w:ascii="Calibri" w:hAnsi="Calibri"/>
                <w:color w:val="000000"/>
                <w:szCs w:val="20"/>
              </w:rPr>
            </w:r>
          </w:p>
        </w:tc>
        <w:tc>
          <w:tcPr>
            <w:tcW w:w="4252" w:type="dxa"/>
            <w:tcBorders>
              <w:top w:val="nil"/>
              <w:left w:val="nil"/>
              <w:bottom w:val="nil"/>
              <w:right w:val="nil"/>
              <w:insideH w:val="nil"/>
              <w:insideV w:val="nil"/>
            </w:tcBorders>
            <w:shd w:fill="auto" w:val="clear"/>
          </w:tcPr>
          <w:p>
            <w:pPr>
              <w:pStyle w:val="Normal"/>
              <w:tabs>
                <w:tab w:val="left" w:pos="1440" w:leader="none"/>
              </w:tabs>
              <w:snapToGrid w:val="false"/>
              <w:spacing w:lineRule="auto" w:line="276" w:before="0" w:after="0"/>
              <w:jc w:val="both"/>
              <w:rPr>
                <w:rFonts w:ascii="Calibri" w:hAnsi="Calibri"/>
              </w:rPr>
            </w:pPr>
            <w:r>
              <w:rPr>
                <w:rFonts w:eastAsia="" w:cs="Arial" w:ascii="Calibri" w:hAnsi="Calibri"/>
                <w:color w:val="000000"/>
                <w:szCs w:val="20"/>
              </w:rPr>
              <w:t>Passivo Circulante + Passivo Não Circulante</w:t>
            </w:r>
          </w:p>
        </w:tc>
      </w:tr>
    </w:tbl>
    <w:p>
      <w:pPr>
        <w:pStyle w:val="Normal"/>
        <w:tabs>
          <w:tab w:val="left" w:pos="1440" w:leader="none"/>
        </w:tabs>
        <w:snapToGrid w:val="false"/>
        <w:spacing w:lineRule="auto" w:line="276"/>
        <w:ind w:left="1134" w:hanging="0"/>
        <w:jc w:val="both"/>
        <w:rPr>
          <w:rFonts w:ascii="Calibri" w:hAnsi="Calibri" w:cs="Arial"/>
          <w:color w:val="000000"/>
          <w:szCs w:val="20"/>
        </w:rPr>
      </w:pPr>
      <w:r>
        <w:rPr>
          <w:rFonts w:cs="Arial" w:ascii="Calibri" w:hAnsi="Calibri"/>
          <w:color w:val="000000"/>
          <w:szCs w:val="20"/>
        </w:rPr>
      </w:r>
    </w:p>
    <w:tbl>
      <w:tblPr>
        <w:tblStyle w:val="Tabelacomgrade"/>
        <w:tblW w:w="6629" w:type="dxa"/>
        <w:jc w:val="left"/>
        <w:tblInd w:w="1132" w:type="dxa"/>
        <w:tblCellMar>
          <w:top w:w="0" w:type="dxa"/>
          <w:left w:w="138" w:type="dxa"/>
          <w:bottom w:w="0" w:type="dxa"/>
          <w:right w:w="108" w:type="dxa"/>
        </w:tblCellMar>
        <w:tblLook w:val="04a0"/>
      </w:tblPr>
      <w:tblGrid>
        <w:gridCol w:w="2234"/>
        <w:gridCol w:w="4394"/>
      </w:tblGrid>
      <w:tr>
        <w:trPr>
          <w:cantSplit w:val="true"/>
        </w:trPr>
        <w:tc>
          <w:tcPr>
            <w:tcW w:w="2234" w:type="dxa"/>
            <w:vMerge w:val="restart"/>
            <w:tcBorders>
              <w:top w:val="nil"/>
              <w:left w:val="nil"/>
              <w:bottom w:val="nil"/>
              <w:right w:val="nil"/>
              <w:insideH w:val="nil"/>
              <w:insideV w:val="nil"/>
            </w:tcBorders>
            <w:shd w:fill="auto" w:val="clear"/>
            <w:vAlign w:val="center"/>
          </w:tcPr>
          <w:p>
            <w:pPr>
              <w:pStyle w:val="Normal"/>
              <w:tabs>
                <w:tab w:val="left" w:pos="1440" w:leader="none"/>
              </w:tabs>
              <w:snapToGrid w:val="false"/>
              <w:spacing w:lineRule="auto" w:line="276" w:before="0" w:after="0"/>
              <w:jc w:val="both"/>
              <w:rPr>
                <w:rFonts w:ascii="Calibri" w:hAnsi="Calibri"/>
              </w:rPr>
            </w:pPr>
            <w:r>
              <w:rPr>
                <w:rFonts w:eastAsia="" w:cs="Arial" w:ascii="Calibri" w:hAnsi="Calibri"/>
                <w:color w:val="000000"/>
                <w:szCs w:val="20"/>
              </w:rPr>
              <w:t>SG =</w:t>
            </w:r>
          </w:p>
        </w:tc>
        <w:tc>
          <w:tcPr>
            <w:tcW w:w="4394" w:type="dxa"/>
            <w:tcBorders>
              <w:top w:val="nil"/>
              <w:left w:val="nil"/>
              <w:right w:val="nil"/>
              <w:insideV w:val="nil"/>
            </w:tcBorders>
            <w:shd w:fill="auto" w:val="clear"/>
            <w:vAlign w:val="bottom"/>
          </w:tcPr>
          <w:p>
            <w:pPr>
              <w:pStyle w:val="Normal"/>
              <w:tabs>
                <w:tab w:val="left" w:pos="1440" w:leader="none"/>
              </w:tabs>
              <w:snapToGrid w:val="false"/>
              <w:spacing w:lineRule="auto" w:line="276" w:before="0" w:after="0"/>
              <w:jc w:val="both"/>
              <w:rPr>
                <w:rFonts w:ascii="Calibri" w:hAnsi="Calibri"/>
              </w:rPr>
            </w:pPr>
            <w:r>
              <w:rPr>
                <w:rFonts w:eastAsia="" w:cs="Arial" w:ascii="Calibri" w:hAnsi="Calibri"/>
                <w:color w:val="000000"/>
                <w:szCs w:val="20"/>
              </w:rPr>
              <w:t>Ativo Total</w:t>
            </w:r>
          </w:p>
        </w:tc>
      </w:tr>
      <w:tr>
        <w:trPr>
          <w:cantSplit w:val="true"/>
        </w:trPr>
        <w:tc>
          <w:tcPr>
            <w:tcW w:w="2234" w:type="dxa"/>
            <w:vMerge w:val="continue"/>
            <w:tcBorders>
              <w:top w:val="nil"/>
              <w:left w:val="nil"/>
              <w:bottom w:val="nil"/>
              <w:right w:val="nil"/>
              <w:insideH w:val="nil"/>
              <w:insideV w:val="nil"/>
            </w:tcBorders>
            <w:shd w:fill="auto" w:val="clear"/>
          </w:tcPr>
          <w:p>
            <w:pPr>
              <w:pStyle w:val="Normal"/>
              <w:tabs>
                <w:tab w:val="left" w:pos="1440" w:leader="none"/>
              </w:tabs>
              <w:snapToGrid w:val="false"/>
              <w:spacing w:lineRule="auto" w:line="276" w:before="0" w:after="0"/>
              <w:jc w:val="both"/>
              <w:rPr>
                <w:rFonts w:ascii="Calibri" w:hAnsi="Calibri" w:eastAsia="" w:cs="Times New Roman" w:eastAsiaTheme="minorEastAsia"/>
                <w:color w:val="000000"/>
                <w:szCs w:val="20"/>
              </w:rPr>
            </w:pPr>
            <w:r>
              <w:rPr>
                <w:rFonts w:eastAsia="" w:cs="Times New Roman" w:eastAsiaTheme="minorEastAsia" w:ascii="Calibri" w:hAnsi="Calibri"/>
                <w:color w:val="000000"/>
                <w:szCs w:val="20"/>
              </w:rPr>
            </w:r>
          </w:p>
        </w:tc>
        <w:tc>
          <w:tcPr>
            <w:tcW w:w="4394" w:type="dxa"/>
            <w:tcBorders>
              <w:top w:val="nil"/>
              <w:left w:val="nil"/>
              <w:bottom w:val="nil"/>
              <w:right w:val="nil"/>
              <w:insideH w:val="nil"/>
              <w:insideV w:val="nil"/>
            </w:tcBorders>
            <w:shd w:fill="auto" w:val="clear"/>
          </w:tcPr>
          <w:p>
            <w:pPr>
              <w:pStyle w:val="Normal"/>
              <w:tabs>
                <w:tab w:val="left" w:pos="1440" w:leader="none"/>
              </w:tabs>
              <w:snapToGrid w:val="false"/>
              <w:spacing w:lineRule="auto" w:line="276" w:before="0" w:after="0"/>
              <w:jc w:val="both"/>
              <w:rPr>
                <w:rFonts w:ascii="Calibri" w:hAnsi="Calibri"/>
              </w:rPr>
            </w:pPr>
            <w:r>
              <w:rPr>
                <w:rFonts w:eastAsia="" w:cs="Arial" w:ascii="Calibri" w:hAnsi="Calibri"/>
                <w:color w:val="000000"/>
                <w:szCs w:val="20"/>
              </w:rPr>
              <w:t>Passivo Circulante + Passivo Não Circulante</w:t>
            </w:r>
          </w:p>
        </w:tc>
      </w:tr>
    </w:tbl>
    <w:p>
      <w:pPr>
        <w:pStyle w:val="Normal"/>
        <w:tabs>
          <w:tab w:val="left" w:pos="1440" w:leader="none"/>
        </w:tabs>
        <w:snapToGrid w:val="false"/>
        <w:spacing w:lineRule="auto" w:line="276"/>
        <w:ind w:left="1134" w:hanging="0"/>
        <w:jc w:val="both"/>
        <w:rPr>
          <w:rFonts w:ascii="Calibri" w:hAnsi="Calibri" w:cs="Arial"/>
          <w:color w:val="000000"/>
          <w:szCs w:val="20"/>
        </w:rPr>
      </w:pPr>
      <w:r>
        <w:rPr>
          <w:rFonts w:cs="Arial" w:ascii="Calibri" w:hAnsi="Calibri"/>
          <w:color w:val="000000"/>
          <w:szCs w:val="20"/>
        </w:rPr>
      </w:r>
    </w:p>
    <w:tbl>
      <w:tblPr>
        <w:tblStyle w:val="Tabelacomgrade"/>
        <w:tblW w:w="4786" w:type="dxa"/>
        <w:jc w:val="left"/>
        <w:tblInd w:w="1132" w:type="dxa"/>
        <w:tblCellMar>
          <w:top w:w="0" w:type="dxa"/>
          <w:left w:w="138" w:type="dxa"/>
          <w:bottom w:w="0" w:type="dxa"/>
          <w:right w:w="108" w:type="dxa"/>
        </w:tblCellMar>
        <w:tblLook w:val="04a0"/>
      </w:tblPr>
      <w:tblGrid>
        <w:gridCol w:w="2235"/>
        <w:gridCol w:w="2550"/>
      </w:tblGrid>
      <w:tr>
        <w:trPr/>
        <w:tc>
          <w:tcPr>
            <w:tcW w:w="2235" w:type="dxa"/>
            <w:vMerge w:val="restart"/>
            <w:tcBorders>
              <w:top w:val="nil"/>
              <w:left w:val="nil"/>
              <w:bottom w:val="nil"/>
              <w:right w:val="nil"/>
              <w:insideH w:val="nil"/>
              <w:insideV w:val="nil"/>
            </w:tcBorders>
            <w:shd w:fill="auto" w:val="clear"/>
            <w:vAlign w:val="center"/>
          </w:tcPr>
          <w:p>
            <w:pPr>
              <w:pStyle w:val="Normal"/>
              <w:tabs>
                <w:tab w:val="left" w:pos="1440" w:leader="none"/>
              </w:tabs>
              <w:snapToGrid w:val="false"/>
              <w:spacing w:lineRule="auto" w:line="276" w:before="0" w:after="0"/>
              <w:jc w:val="both"/>
              <w:rPr>
                <w:rFonts w:ascii="Calibri" w:hAnsi="Calibri"/>
              </w:rPr>
            </w:pPr>
            <w:r>
              <w:rPr>
                <w:rFonts w:eastAsia="" w:cs="Arial" w:ascii="Calibri" w:hAnsi="Calibri"/>
                <w:color w:val="000000"/>
                <w:szCs w:val="20"/>
              </w:rPr>
              <w:t>LC =</w:t>
            </w:r>
          </w:p>
        </w:tc>
        <w:tc>
          <w:tcPr>
            <w:tcW w:w="2550" w:type="dxa"/>
            <w:tcBorders>
              <w:top w:val="nil"/>
              <w:left w:val="nil"/>
              <w:right w:val="nil"/>
              <w:insideV w:val="nil"/>
            </w:tcBorders>
            <w:shd w:fill="auto" w:val="clear"/>
            <w:vAlign w:val="bottom"/>
          </w:tcPr>
          <w:p>
            <w:pPr>
              <w:pStyle w:val="Normal"/>
              <w:tabs>
                <w:tab w:val="left" w:pos="1440" w:leader="none"/>
              </w:tabs>
              <w:snapToGrid w:val="false"/>
              <w:spacing w:lineRule="auto" w:line="276" w:before="0" w:after="0"/>
              <w:jc w:val="both"/>
              <w:rPr>
                <w:rFonts w:ascii="Calibri" w:hAnsi="Calibri"/>
              </w:rPr>
            </w:pPr>
            <w:r>
              <w:rPr>
                <w:rFonts w:eastAsia="" w:cs="Arial" w:ascii="Calibri" w:hAnsi="Calibri"/>
                <w:color w:val="000000"/>
                <w:szCs w:val="20"/>
              </w:rPr>
              <w:t>Ativo Circulante</w:t>
            </w:r>
          </w:p>
        </w:tc>
      </w:tr>
      <w:tr>
        <w:trPr/>
        <w:tc>
          <w:tcPr>
            <w:tcW w:w="2235" w:type="dxa"/>
            <w:vMerge w:val="continue"/>
            <w:tcBorders>
              <w:top w:val="nil"/>
              <w:left w:val="nil"/>
              <w:bottom w:val="nil"/>
              <w:right w:val="nil"/>
              <w:insideH w:val="nil"/>
              <w:insideV w:val="nil"/>
            </w:tcBorders>
            <w:shd w:fill="auto" w:val="clear"/>
          </w:tcPr>
          <w:p>
            <w:pPr>
              <w:pStyle w:val="Normal"/>
              <w:tabs>
                <w:tab w:val="left" w:pos="1440" w:leader="none"/>
              </w:tabs>
              <w:snapToGrid w:val="false"/>
              <w:spacing w:lineRule="auto" w:line="276" w:before="0" w:after="0"/>
              <w:jc w:val="both"/>
              <w:rPr>
                <w:rFonts w:ascii="Calibri" w:hAnsi="Calibri" w:eastAsia="" w:cs="Times New Roman" w:eastAsiaTheme="minorEastAsia"/>
                <w:color w:val="000000"/>
                <w:szCs w:val="20"/>
              </w:rPr>
            </w:pPr>
            <w:r>
              <w:rPr>
                <w:rFonts w:eastAsia="" w:cs="Times New Roman" w:eastAsiaTheme="minorEastAsia" w:ascii="Calibri" w:hAnsi="Calibri"/>
                <w:color w:val="000000"/>
                <w:szCs w:val="20"/>
              </w:rPr>
            </w:r>
          </w:p>
        </w:tc>
        <w:tc>
          <w:tcPr>
            <w:tcW w:w="2550" w:type="dxa"/>
            <w:tcBorders>
              <w:top w:val="nil"/>
              <w:left w:val="nil"/>
              <w:bottom w:val="nil"/>
              <w:right w:val="nil"/>
              <w:insideH w:val="nil"/>
              <w:insideV w:val="nil"/>
            </w:tcBorders>
            <w:shd w:fill="auto" w:val="clear"/>
          </w:tcPr>
          <w:p>
            <w:pPr>
              <w:pStyle w:val="Normal"/>
              <w:tabs>
                <w:tab w:val="left" w:pos="1440" w:leader="none"/>
              </w:tabs>
              <w:snapToGrid w:val="false"/>
              <w:spacing w:lineRule="auto" w:line="276" w:before="0" w:after="0"/>
              <w:jc w:val="both"/>
              <w:rPr>
                <w:rFonts w:ascii="Calibri" w:hAnsi="Calibri"/>
              </w:rPr>
            </w:pPr>
            <w:r>
              <w:rPr>
                <w:rFonts w:eastAsia="" w:cs="Arial" w:ascii="Calibri" w:hAnsi="Calibri"/>
                <w:color w:val="000000"/>
                <w:szCs w:val="20"/>
              </w:rPr>
              <w:t>Passivo Circulante</w:t>
            </w:r>
          </w:p>
        </w:tc>
      </w:tr>
    </w:tbl>
    <w:p>
      <w:pPr>
        <w:pStyle w:val="Normal"/>
        <w:numPr>
          <w:ilvl w:val="2"/>
          <w:numId w:val="3"/>
        </w:numPr>
        <w:tabs>
          <w:tab w:val="left" w:pos="1440" w:leader="none"/>
        </w:tabs>
        <w:snapToGrid w:val="false"/>
        <w:spacing w:lineRule="auto" w:line="276" w:before="120" w:after="120"/>
        <w:jc w:val="both"/>
        <w:rPr>
          <w:rFonts w:ascii="Calibri" w:hAnsi="Calibri"/>
        </w:rPr>
      </w:pPr>
      <w:r>
        <w:rPr>
          <w:rFonts w:cs="Arial" w:ascii="Calibri" w:hAnsi="Calibri"/>
          <w:color w:val="000000"/>
          <w:szCs w:val="20"/>
        </w:rPr>
        <w:t>As empresas, que apresentarem resultado inferior ou igual a 1(um) em qualquer dos índices de Liquidez Geral (LG), Solvência Geral (SG) e Liquidez Corrente (LC), deverão comprovar capital ou patrimônio líquido mínimo de</w:t>
      </w:r>
      <w:r>
        <w:rPr>
          <w:rFonts w:cs="Arial" w:ascii="Calibri" w:hAnsi="Calibri"/>
          <w:i/>
          <w:iCs/>
          <w:color w:val="FF0000"/>
          <w:szCs w:val="20"/>
        </w:rPr>
        <w:t xml:space="preserve"> ...(....) </w:t>
      </w:r>
      <w:r>
        <w:rPr>
          <w:rFonts w:cs="Arial" w:ascii="Calibri" w:hAnsi="Calibri"/>
          <w:color w:val="000000"/>
          <w:szCs w:val="20"/>
        </w:rPr>
        <w:t xml:space="preserve">do valor total estimado da contratação ou do item pertinente. </w:t>
      </w:r>
    </w:p>
    <w:p>
      <w:pPr>
        <w:pStyle w:val="PADRO"/>
        <w:keepNext/>
        <w:widowControl/>
        <w:shd w:val="clear" w:fill="FFFFFF"/>
        <w:spacing w:before="120" w:after="120"/>
        <w:ind w:hanging="0"/>
        <w:rPr/>
      </w:pPr>
      <w:r>
        <w:rPr/>
      </w:r>
    </w:p>
    <w:sectPr>
      <w:footerReference w:type="default" r:id="rId5"/>
      <w:type w:val="nextPage"/>
      <w:pgSz w:w="11906" w:h="16838"/>
      <w:pgMar w:left="1701" w:right="1701" w:header="0" w:top="1417" w:footer="708" w:bottom="1417" w:gutter="0"/>
      <w:pgNumType w:fmt="decimal"/>
      <w:formProt w:val="false"/>
      <w:textDirection w:val="lrTb"/>
      <w:docGrid w:type="default" w:linePitch="36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libri Light">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sz w:val="12"/>
        <w:szCs w:val="12"/>
      </w:rPr>
    </w:pPr>
    <w:r>
      <w:rPr>
        <w:sz w:val="12"/>
        <w:szCs w:val="12"/>
      </w:rPr>
      <w:t>Câmara Nacional de Modelos de Licitações e Contratos – CNMLC/CGU/AGU</w:t>
    </w:r>
  </w:p>
  <w:p>
    <w:pPr>
      <w:pStyle w:val="Rodap"/>
      <w:rPr>
        <w:sz w:val="12"/>
        <w:szCs w:val="12"/>
      </w:rPr>
    </w:pPr>
    <w:r>
      <w:rPr>
        <w:sz w:val="12"/>
        <w:szCs w:val="12"/>
      </w:rPr>
      <w:t>Aviso de Dispensa Eletrônica – Lei nº 14.133/21 e IN SEGES/ME nº 67/2021</w:t>
    </w:r>
  </w:p>
  <w:p>
    <w:pPr>
      <w:pStyle w:val="Rodap"/>
      <w:rPr/>
    </w:pPr>
    <w:r>
      <w:rPr>
        <w:sz w:val="12"/>
        <w:szCs w:val="12"/>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rFonts w:ascii="Calibri" w:hAnsi="Calibri"/>
      </w:rPr>
    </w:lvl>
    <w:lvl w:ilvl="1">
      <w:start w:val="1"/>
      <w:numFmt w:val="decimal"/>
      <w:lvlText w:val="%1.%2."/>
      <w:lvlJc w:val="left"/>
      <w:pPr>
        <w:ind w:left="792" w:hanging="432"/>
      </w:pPr>
      <w:rPr>
        <w:i w:val="false"/>
        <w:b/>
        <w:iCs/>
        <w:rFonts w:ascii="Calibri" w:hAnsi="Calibri"/>
      </w:rPr>
    </w:lvl>
    <w:lvl w:ilvl="2">
      <w:start w:val="1"/>
      <w:numFmt w:val="decimal"/>
      <w:lvlText w:val="%1.%2.%3."/>
      <w:lvlJc w:val="left"/>
      <w:pPr>
        <w:ind w:left="1224" w:hanging="504"/>
      </w:pPr>
      <w:rPr>
        <w:i w:val="false"/>
        <w:b/>
        <w:iCs/>
        <w:rFonts w:ascii="Calibri" w:hAnsi="Calibri" w:cs="Arial"/>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
    <w:lvl w:ilvl="0">
      <w:start w:val="1"/>
      <w:numFmt w:val="decimal"/>
      <w:lvlText w:val="%1"/>
      <w:lvlJc w:val="left"/>
      <w:pPr>
        <w:ind w:left="360" w:hanging="360"/>
      </w:pPr>
    </w:lvl>
    <w:lvl w:ilvl="1">
      <w:start w:val="1"/>
      <w:numFmt w:val="decimal"/>
      <w:lvlText w:val="%1.%2"/>
      <w:lvlJc w:val="left"/>
      <w:pPr>
        <w:ind w:left="927" w:hanging="360"/>
      </w:pPr>
      <w:rPr>
        <w:b/>
        <w:rFonts w:ascii="Calibri" w:hAnsi="Calibri"/>
      </w:rPr>
    </w:lvl>
    <w:lvl w:ilvl="2">
      <w:start w:val="1"/>
      <w:numFmt w:val="decimal"/>
      <w:lvlText w:val="%1.%2.%3"/>
      <w:lvlJc w:val="left"/>
      <w:pPr>
        <w:ind w:left="1854" w:hanging="720"/>
      </w:pPr>
      <w:rPr>
        <w:b/>
        <w:rFonts w:ascii="Calibri" w:hAnsi="Calibri"/>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decimal"/>
      <w:lvlText w:val="%1.%2.%3."/>
      <w:lvlJc w:val="left"/>
      <w:pPr>
        <w:ind w:left="1224" w:hanging="504"/>
      </w:pPr>
      <w:rPr>
        <w:i w:val="false"/>
        <w:b w:val="false"/>
        <w:iCs/>
        <w:rFonts w:cs="Arial"/>
        <w:color w:val="00000A"/>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lowerLetter"/>
      <w:lvlText w:val="%3)"/>
      <w:lvlJc w:val="left"/>
      <w:pPr>
        <w:ind w:left="1224" w:hanging="504"/>
      </w:pPr>
      <w:rPr>
        <w:i w:val="false"/>
        <w:b w:val="false"/>
        <w:iCs/>
        <w:rFonts w:ascii="Calibri" w:hAnsi="Calibri"/>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20"/>
  <w:defaultTabStop w:val="408"/>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uiPriority="10" w:semiHidden="0" w:unhideWhenUsed="0" w:qFormat="1"/>
    <w:lsdException w:name="Default Paragraph Font" w:uiPriority="1"/>
    <w:lsdException w:name="Subtitle" w:uiPriority="11" w:semiHidden="0" w:unhideWhenUsed="0" w:qFormat="1"/>
    <w:lsdException w:name="Hyperlink" w:uiPriority="0"/>
    <w:lsdException w:name="Strong" w:uiPriority="22" w:semiHidden="0" w:unhideWhenUsed="0" w:qFormat="1"/>
    <w:lsdException w:name="Emphasis" w:uiPriority="20" w:semiHidden="0" w:unhideWhenUsed="0" w:qFormat="1"/>
    <w:lsdException w:name="Table Grid"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0"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d0e1a"/>
    <w:pPr>
      <w:widowControl/>
      <w:bidi w:val="0"/>
      <w:spacing w:lineRule="auto" w:line="240" w:before="0" w:after="0"/>
      <w:jc w:val="left"/>
    </w:pPr>
    <w:rPr>
      <w:rFonts w:ascii="Arial" w:hAnsi="Arial" w:eastAsia="Times New Roman" w:cs="Tahoma"/>
      <w:color w:val="00000A"/>
      <w:sz w:val="20"/>
      <w:szCs w:val="24"/>
      <w:lang w:val="pt-BR" w:eastAsia="pt-BR" w:bidi="ar-SA"/>
    </w:rPr>
  </w:style>
  <w:style w:type="paragraph" w:styleId="Ttulo1">
    <w:name w:val="Heading 1"/>
    <w:basedOn w:val="Normal"/>
    <w:next w:val="Normal"/>
    <w:link w:val="Ttulo1Char"/>
    <w:uiPriority w:val="9"/>
    <w:qFormat/>
    <w:rsid w:val="009f7713"/>
    <w:pPr>
      <w:keepNext/>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Citao"/>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link w:val="Ttulo1"/>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link w:val="citao2"/>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link w:val="Textodecomentrio"/>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ssuntodocomentrio"/>
    <w:uiPriority w:val="99"/>
    <w:semiHidden/>
    <w:qFormat/>
    <w:rsid w:val="003d08af"/>
    <w:rPr>
      <w:rFonts w:ascii="Arial" w:hAnsi="Arial" w:eastAsia="Times New Roman" w:cs="Tahoma"/>
      <w:b/>
      <w:bCs/>
      <w:sz w:val="20"/>
      <w:szCs w:val="20"/>
      <w:lang w:eastAsia="pt-BR"/>
    </w:rPr>
  </w:style>
  <w:style w:type="character" w:styleId="LinkdaInternet">
    <w:name w:val="Link da Internet"/>
    <w:rsid w:val="002f5eff"/>
    <w:rPr>
      <w:color w:val="000080"/>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Textodebalo"/>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link w:val="Cabealho"/>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link w:val="Rodap"/>
    <w:uiPriority w:val="99"/>
    <w:qFormat/>
    <w:rsid w:val="00805244"/>
    <w:rPr>
      <w:rFonts w:ascii="Arial" w:hAnsi="Arial" w:eastAsia="Times New Roman" w:cs="Tahoma"/>
      <w:sz w:val="20"/>
      <w:szCs w:val="24"/>
      <w:lang w:eastAsia="pt-BR"/>
    </w:rPr>
  </w:style>
  <w:style w:type="character" w:styleId="ListLabel1">
    <w:name w:val="ListLabel 1"/>
    <w:qFormat/>
    <w:rPr>
      <w:rFonts w:ascii="Arial" w:hAnsi="Arial"/>
      <w:b/>
    </w:rPr>
  </w:style>
  <w:style w:type="character" w:styleId="ListLabel2">
    <w:name w:val="ListLabel 2"/>
    <w:qFormat/>
    <w:rPr>
      <w:rFonts w:ascii="Arial" w:hAnsi="Arial"/>
      <w:b/>
      <w:i w:val="false"/>
      <w:iCs/>
    </w:rPr>
  </w:style>
  <w:style w:type="character" w:styleId="ListLabel3">
    <w:name w:val="ListLabel 3"/>
    <w:qFormat/>
    <w:rPr>
      <w:rFonts w:ascii="Arial" w:hAnsi="Arial" w:cs="Arial"/>
      <w:b/>
      <w:i w:val="false"/>
      <w:iCs/>
      <w:color w:val="00000A"/>
    </w:rPr>
  </w:style>
  <w:style w:type="character" w:styleId="ListLabel4">
    <w:name w:val="ListLabel 4"/>
    <w:qFormat/>
    <w:rPr>
      <w:rFonts w:cs="Arial"/>
    </w:rPr>
  </w:style>
  <w:style w:type="character" w:styleId="ListLabel5">
    <w:name w:val="ListLabel 5"/>
    <w:qFormat/>
    <w:rPr>
      <w:color w:val="00000A"/>
    </w:rPr>
  </w:style>
  <w:style w:type="character" w:styleId="ListLabel6">
    <w:name w:val="ListLabel 6"/>
    <w:qFormat/>
    <w:rPr>
      <w:color w:val="00000A"/>
    </w:rPr>
  </w:style>
  <w:style w:type="character" w:styleId="ListLabel7">
    <w:name w:val="ListLabel 7"/>
    <w:qFormat/>
    <w:rPr>
      <w:color w:val="00000A"/>
    </w:rPr>
  </w:style>
  <w:style w:type="character" w:styleId="ListLabel8">
    <w:name w:val="ListLabel 8"/>
    <w:qFormat/>
    <w:rPr>
      <w:color w:val="00000A"/>
    </w:rPr>
  </w:style>
  <w:style w:type="character" w:styleId="ListLabel9">
    <w:name w:val="ListLabel 9"/>
    <w:qFormat/>
    <w:rPr>
      <w:color w:val="00000A"/>
    </w:rPr>
  </w:style>
  <w:style w:type="character" w:styleId="ListLabel10">
    <w:name w:val="ListLabel 10"/>
    <w:qFormat/>
    <w:rPr>
      <w:color w:val="00000A"/>
    </w:rPr>
  </w:style>
  <w:style w:type="character" w:styleId="ListLabel11">
    <w:name w:val="ListLabel 11"/>
    <w:qFormat/>
    <w:rPr>
      <w:color w:val="00000A"/>
    </w:rPr>
  </w:style>
  <w:style w:type="character" w:styleId="ListLabel12">
    <w:name w:val="ListLabel 12"/>
    <w:qFormat/>
    <w:rPr>
      <w:color w:val="00000A"/>
    </w:rPr>
  </w:style>
  <w:style w:type="character" w:styleId="ListLabel13">
    <w:name w:val="ListLabel 13"/>
    <w:qFormat/>
    <w:rPr>
      <w:color w:val="00000A"/>
    </w:rPr>
  </w:style>
  <w:style w:type="character" w:styleId="ListLabel14">
    <w:name w:val="ListLabel 14"/>
    <w:qFormat/>
    <w:rPr>
      <w:b/>
    </w:rPr>
  </w:style>
  <w:style w:type="character" w:styleId="ListLabel15">
    <w:name w:val="ListLabel 15"/>
    <w:qFormat/>
    <w:rPr>
      <w:b w:val="false"/>
      <w:i w:val="false"/>
      <w:iCs/>
    </w:rPr>
  </w:style>
  <w:style w:type="character" w:styleId="ListLabel16">
    <w:name w:val="ListLabel 16"/>
    <w:qFormat/>
    <w:rPr>
      <w:rFonts w:cs="Arial"/>
      <w:b w:val="false"/>
      <w:i w:val="false"/>
      <w:iCs/>
      <w:color w:val="00000A"/>
    </w:rPr>
  </w:style>
  <w:style w:type="character" w:styleId="ListLabel17">
    <w:name w:val="ListLabel 17"/>
    <w:qFormat/>
    <w:rPr>
      <w:i w:val="false"/>
      <w:color w:val="000000"/>
    </w:rPr>
  </w:style>
  <w:style w:type="character" w:styleId="ListLabel18">
    <w:name w:val="ListLabel 18"/>
    <w:qFormat/>
    <w:rPr>
      <w:i w:val="false"/>
      <w:color w:val="000000"/>
    </w:rPr>
  </w:style>
  <w:style w:type="character" w:styleId="ListLabel19">
    <w:name w:val="ListLabel 19"/>
    <w:qFormat/>
    <w:rPr>
      <w:i w:val="false"/>
      <w:color w:val="000000"/>
    </w:rPr>
  </w:style>
  <w:style w:type="character" w:styleId="ListLabel20">
    <w:name w:val="ListLabel 20"/>
    <w:qFormat/>
    <w:rPr>
      <w:i w:val="false"/>
      <w:color w:val="000000"/>
    </w:rPr>
  </w:style>
  <w:style w:type="character" w:styleId="ListLabel21">
    <w:name w:val="ListLabel 21"/>
    <w:qFormat/>
    <w:rPr>
      <w:i w:val="false"/>
      <w:color w:val="000000"/>
    </w:rPr>
  </w:style>
  <w:style w:type="character" w:styleId="ListLabel22">
    <w:name w:val="ListLabel 22"/>
    <w:qFormat/>
    <w:rPr>
      <w:i w:val="false"/>
      <w:color w:val="000000"/>
    </w:rPr>
  </w:style>
  <w:style w:type="character" w:styleId="ListLabel23">
    <w:name w:val="ListLabel 23"/>
    <w:qFormat/>
    <w:rPr>
      <w:i w:val="false"/>
      <w:color w:val="000000"/>
    </w:rPr>
  </w:style>
  <w:style w:type="character" w:styleId="ListLabel24">
    <w:name w:val="ListLabel 24"/>
    <w:qFormat/>
    <w:rPr>
      <w:i w:val="false"/>
      <w:color w:val="000000"/>
    </w:rPr>
  </w:style>
  <w:style w:type="character" w:styleId="ListLabel25">
    <w:name w:val="ListLabel 25"/>
    <w:qFormat/>
    <w:rPr>
      <w:i w:val="false"/>
      <w:color w:val="000000"/>
    </w:rPr>
  </w:style>
  <w:style w:type="character" w:styleId="ListLabel26">
    <w:name w:val="ListLabel 26"/>
    <w:qFormat/>
    <w:rPr>
      <w:b/>
    </w:rPr>
  </w:style>
  <w:style w:type="character" w:styleId="ListLabel27">
    <w:name w:val="ListLabel 27"/>
    <w:qFormat/>
    <w:rPr>
      <w:b w:val="false"/>
      <w:i w:val="false"/>
      <w:iCs/>
    </w:rPr>
  </w:style>
  <w:style w:type="character" w:styleId="ListLabel28">
    <w:name w:val="ListLabel 28"/>
    <w:qFormat/>
    <w:rPr>
      <w:rFonts w:cs="Arial"/>
      <w:b w:val="false"/>
      <w:i w:val="false"/>
      <w:iCs/>
      <w:color w:val="00000A"/>
    </w:rPr>
  </w:style>
  <w:style w:type="character" w:styleId="ListLabel29">
    <w:name w:val="ListLabel 29"/>
    <w:qFormat/>
    <w:rPr>
      <w:b/>
    </w:rPr>
  </w:style>
  <w:style w:type="character" w:styleId="ListLabel30">
    <w:name w:val="ListLabel 30"/>
    <w:qFormat/>
    <w:rPr>
      <w:b w:val="false"/>
      <w:i w:val="false"/>
      <w:iCs/>
    </w:rPr>
  </w:style>
  <w:style w:type="character" w:styleId="ListLabel31">
    <w:name w:val="ListLabel 31"/>
    <w:qFormat/>
    <w:rPr>
      <w:rFonts w:cs="Arial"/>
      <w:b w:val="false"/>
      <w:i w:val="false"/>
      <w:iCs/>
      <w:color w:val="00000A"/>
    </w:rPr>
  </w:style>
  <w:style w:type="character" w:styleId="ListLabel32">
    <w:name w:val="ListLabel 32"/>
    <w:qFormat/>
    <w:rPr>
      <w:b/>
    </w:rPr>
  </w:style>
  <w:style w:type="character" w:styleId="ListLabel33">
    <w:name w:val="ListLabel 33"/>
    <w:qFormat/>
    <w:rPr>
      <w:b w:val="false"/>
      <w:i w:val="false"/>
      <w:iCs/>
    </w:rPr>
  </w:style>
  <w:style w:type="character" w:styleId="ListLabel34">
    <w:name w:val="ListLabel 34"/>
    <w:qFormat/>
    <w:rPr>
      <w:rFonts w:cs="Arial"/>
      <w:b w:val="false"/>
      <w:i w:val="false"/>
      <w:iCs/>
      <w:color w:val="00000A"/>
    </w:rPr>
  </w:style>
  <w:style w:type="character" w:styleId="ListLabel35">
    <w:name w:val="ListLabel 35"/>
    <w:qFormat/>
    <w:rPr>
      <w:b/>
    </w:rPr>
  </w:style>
  <w:style w:type="character" w:styleId="ListLabel36">
    <w:name w:val="ListLabel 36"/>
    <w:qFormat/>
    <w:rPr>
      <w:b w:val="false"/>
      <w:i w:val="false"/>
      <w:iCs/>
    </w:rPr>
  </w:style>
  <w:style w:type="character" w:styleId="ListLabel37">
    <w:name w:val="ListLabel 37"/>
    <w:qFormat/>
    <w:rPr>
      <w:rFonts w:cs="Arial"/>
      <w:b w:val="false"/>
      <w:i w:val="false"/>
      <w:iCs/>
      <w:color w:val="00000A"/>
    </w:rPr>
  </w:style>
  <w:style w:type="character" w:styleId="ListLabel38">
    <w:name w:val="ListLabel 38"/>
    <w:qFormat/>
    <w:rPr>
      <w:b/>
    </w:rPr>
  </w:style>
  <w:style w:type="character" w:styleId="ListLabel39">
    <w:name w:val="ListLabel 39"/>
    <w:qFormat/>
    <w:rPr>
      <w:b w:val="false"/>
      <w:i w:val="false"/>
      <w:iCs/>
    </w:rPr>
  </w:style>
  <w:style w:type="character" w:styleId="ListLabel40">
    <w:name w:val="ListLabel 40"/>
    <w:qFormat/>
    <w:rPr>
      <w:rFonts w:cs="Arial"/>
      <w:b w:val="false"/>
      <w:i w:val="false"/>
      <w:iCs/>
      <w:color w:val="00000A"/>
    </w:rPr>
  </w:style>
  <w:style w:type="character" w:styleId="ListLabel41">
    <w:name w:val="ListLabel 41"/>
    <w:qFormat/>
    <w:rPr>
      <w:b/>
      <w:i w:val="false"/>
      <w:strike w:val="false"/>
      <w:dstrike w:val="false"/>
    </w:rPr>
  </w:style>
  <w:style w:type="character" w:styleId="ListLabel42">
    <w:name w:val="ListLabel 42"/>
    <w:qFormat/>
    <w:rPr>
      <w:b w:val="false"/>
      <w:strike w:val="false"/>
      <w:dstrike w:val="false"/>
    </w:rPr>
  </w:style>
  <w:style w:type="character" w:styleId="ListLabel43">
    <w:name w:val="ListLabel 43"/>
    <w:qFormat/>
    <w:rPr>
      <w:i w:val="false"/>
      <w:strike w:val="false"/>
      <w:dstrike w:val="false"/>
    </w:rPr>
  </w:style>
  <w:style w:type="character" w:styleId="ListLabel44">
    <w:name w:val="ListLabel 44"/>
    <w:qFormat/>
    <w:rPr>
      <w:b w:val="false"/>
    </w:rPr>
  </w:style>
  <w:style w:type="character" w:styleId="ListLabel45">
    <w:name w:val="ListLabel 45"/>
    <w:qFormat/>
    <w:rPr>
      <w:b w:val="false"/>
    </w:rPr>
  </w:style>
  <w:style w:type="character" w:styleId="ListLabel46">
    <w:name w:val="ListLabel 46"/>
    <w:qFormat/>
    <w:rPr>
      <w:b w:val="false"/>
    </w:rPr>
  </w:style>
  <w:style w:type="character" w:styleId="ListLabel47">
    <w:name w:val="ListLabel 47"/>
    <w:qFormat/>
    <w:rPr>
      <w:b w:val="false"/>
    </w:rPr>
  </w:style>
  <w:style w:type="character" w:styleId="ListLabel48">
    <w:name w:val="ListLabel 48"/>
    <w:qFormat/>
    <w:rPr>
      <w:rFonts w:ascii="Arial" w:hAnsi="Arial"/>
      <w:b/>
    </w:rPr>
  </w:style>
  <w:style w:type="character" w:styleId="ListLabel49">
    <w:name w:val="ListLabel 49"/>
    <w:qFormat/>
    <w:rPr>
      <w:rFonts w:ascii="Arial" w:hAnsi="Arial"/>
      <w:b/>
    </w:rPr>
  </w:style>
  <w:style w:type="character" w:styleId="ListLabel50">
    <w:name w:val="ListLabel 50"/>
    <w:qFormat/>
    <w:rPr>
      <w:b/>
    </w:rPr>
  </w:style>
  <w:style w:type="character" w:styleId="ListLabel51">
    <w:name w:val="ListLabel 51"/>
    <w:qFormat/>
    <w:rPr>
      <w:b w:val="false"/>
      <w:i w:val="false"/>
      <w:iCs/>
    </w:rPr>
  </w:style>
  <w:style w:type="character" w:styleId="ListLabel52">
    <w:name w:val="ListLabel 52"/>
    <w:qFormat/>
    <w:rPr>
      <w:rFonts w:cs="Arial"/>
      <w:b w:val="false"/>
      <w:i w:val="false"/>
      <w:iCs/>
      <w:color w:val="00000A"/>
    </w:rPr>
  </w:style>
  <w:style w:type="character" w:styleId="ListLabel53">
    <w:name w:val="ListLabel 53"/>
    <w:qFormat/>
    <w:rPr>
      <w:rFonts w:cs="Courier New"/>
    </w:rPr>
  </w:style>
  <w:style w:type="character" w:styleId="ListLabel54">
    <w:name w:val="ListLabel 54"/>
    <w:qFormat/>
    <w:rPr>
      <w:rFonts w:cs="Courier New"/>
    </w:rPr>
  </w:style>
  <w:style w:type="character" w:styleId="ListLabel55">
    <w:name w:val="ListLabel 55"/>
    <w:qFormat/>
    <w:rPr>
      <w:rFonts w:cs="Courier New"/>
    </w:rPr>
  </w:style>
  <w:style w:type="character" w:styleId="ListLabel56">
    <w:name w:val="ListLabel 56"/>
    <w:qFormat/>
    <w:rPr>
      <w:b/>
    </w:rPr>
  </w:style>
  <w:style w:type="character" w:styleId="ListLabel57">
    <w:name w:val="ListLabel 57"/>
    <w:qFormat/>
    <w:rPr>
      <w:b w:val="false"/>
      <w:i w:val="false"/>
      <w:iCs/>
    </w:rPr>
  </w:style>
  <w:style w:type="character" w:styleId="ListLabel58">
    <w:name w:val="ListLabel 58"/>
    <w:qFormat/>
    <w:rPr>
      <w:rFonts w:cs="Arial"/>
      <w:b w:val="false"/>
      <w:i w:val="false"/>
      <w:iCs/>
      <w:color w:val="00000A"/>
    </w:rPr>
  </w:style>
  <w:style w:type="character" w:styleId="ListLabel59">
    <w:name w:val="ListLabel 59"/>
    <w:qFormat/>
    <w:rPr>
      <w:rFonts w:eastAsia="" w:cs="Arial"/>
      <w:b/>
    </w:rPr>
  </w:style>
  <w:style w:type="character" w:styleId="ListLabel60">
    <w:name w:val="ListLabel 60"/>
    <w:qFormat/>
    <w:rPr>
      <w:b w:val="false"/>
      <w:i w:val="false"/>
      <w:iCs/>
    </w:rPr>
  </w:style>
  <w:style w:type="character" w:styleId="ListLabel61">
    <w:name w:val="ListLabel 61"/>
    <w:qFormat/>
    <w:rPr>
      <w:b w:val="false"/>
      <w:i w:val="false"/>
      <w:iCs/>
      <w:color w:val="00000A"/>
    </w:rPr>
  </w:style>
  <w:style w:type="character" w:styleId="ListLabel62">
    <w:name w:val="ListLabel 62"/>
    <w:qFormat/>
    <w:rPr>
      <w:b/>
    </w:rPr>
  </w:style>
  <w:style w:type="character" w:styleId="ListLabel63">
    <w:name w:val="ListLabel 63"/>
    <w:qFormat/>
    <w:rPr>
      <w:b w:val="false"/>
      <w:i w:val="false"/>
      <w:iCs/>
    </w:rPr>
  </w:style>
  <w:style w:type="character" w:styleId="ListLabel64">
    <w:name w:val="ListLabel 64"/>
    <w:qFormat/>
    <w:rPr>
      <w:rFonts w:cs="Arial"/>
      <w:b w:val="false"/>
      <w:i w:val="false"/>
      <w:iCs/>
      <w:color w:val="00000A"/>
    </w:rPr>
  </w:style>
  <w:style w:type="character" w:styleId="ListLabel65">
    <w:name w:val="ListLabel 65"/>
    <w:qFormat/>
    <w:rPr>
      <w:b/>
    </w:rPr>
  </w:style>
  <w:style w:type="character" w:styleId="ListLabel66">
    <w:name w:val="ListLabel 66"/>
    <w:qFormat/>
    <w:rPr>
      <w:b w:val="false"/>
      <w:i w:val="false"/>
      <w:iCs/>
    </w:rPr>
  </w:style>
  <w:style w:type="character" w:styleId="ListLabel67">
    <w:name w:val="ListLabel 67"/>
    <w:qFormat/>
    <w:rPr>
      <w:rFonts w:cs="Arial"/>
      <w:b w:val="false"/>
      <w:i w:val="false"/>
      <w:iCs/>
      <w:color w:val="00000A"/>
    </w:rPr>
  </w:style>
  <w:style w:type="character" w:styleId="ListLabel68">
    <w:name w:val="ListLabel 68"/>
    <w:qFormat/>
    <w:rPr>
      <w:b/>
    </w:rPr>
  </w:style>
  <w:style w:type="character" w:styleId="ListLabel69">
    <w:name w:val="ListLabel 69"/>
    <w:qFormat/>
    <w:rPr>
      <w:b w:val="false"/>
      <w:i w:val="false"/>
      <w:iCs/>
    </w:rPr>
  </w:style>
  <w:style w:type="character" w:styleId="ListLabel70">
    <w:name w:val="ListLabel 70"/>
    <w:qFormat/>
    <w:rPr>
      <w:b w:val="false"/>
      <w:i w:val="false"/>
      <w:iCs/>
      <w:color w:val="00000A"/>
    </w:rPr>
  </w:style>
  <w:style w:type="character" w:styleId="ListLabel71">
    <w:name w:val="ListLabel 71"/>
    <w:qFormat/>
    <w:rPr>
      <w:rFonts w:ascii="Arial" w:hAnsi="Arial"/>
      <w:b/>
    </w:rPr>
  </w:style>
  <w:style w:type="character" w:styleId="ListLabel72">
    <w:name w:val="ListLabel 72"/>
    <w:qFormat/>
    <w:rPr>
      <w:rFonts w:ascii="Calibri" w:hAnsi="Calibri"/>
      <w:b/>
      <w:i w:val="false"/>
      <w:iCs/>
    </w:rPr>
  </w:style>
  <w:style w:type="character" w:styleId="ListLabel73">
    <w:name w:val="ListLabel 73"/>
    <w:qFormat/>
    <w:rPr>
      <w:rFonts w:ascii="Calibri" w:hAnsi="Calibri" w:cs="Arial"/>
      <w:b/>
      <w:i w:val="false"/>
      <w:iCs/>
      <w:color w:val="00000A"/>
    </w:rPr>
  </w:style>
  <w:style w:type="character" w:styleId="ListLabel74">
    <w:name w:val="ListLabel 74"/>
    <w:qFormat/>
    <w:rPr>
      <w:rFonts w:ascii="Calibri" w:hAnsi="Calibri"/>
      <w:b/>
    </w:rPr>
  </w:style>
  <w:style w:type="character" w:styleId="ListLabel75">
    <w:name w:val="ListLabel 75"/>
    <w:qFormat/>
    <w:rPr>
      <w:b/>
    </w:rPr>
  </w:style>
  <w:style w:type="character" w:styleId="ListLabel76">
    <w:name w:val="ListLabel 76"/>
    <w:qFormat/>
    <w:rPr>
      <w:b/>
    </w:rPr>
  </w:style>
  <w:style w:type="character" w:styleId="ListLabel77">
    <w:name w:val="ListLabel 77"/>
    <w:qFormat/>
    <w:rPr>
      <w:b w:val="false"/>
      <w:i w:val="false"/>
      <w:iCs/>
    </w:rPr>
  </w:style>
  <w:style w:type="character" w:styleId="ListLabel78">
    <w:name w:val="ListLabel 78"/>
    <w:qFormat/>
    <w:rPr>
      <w:rFonts w:cs="Arial"/>
      <w:b w:val="false"/>
      <w:i w:val="false"/>
      <w:iCs/>
      <w:color w:val="00000A"/>
    </w:rPr>
  </w:style>
  <w:style w:type="character" w:styleId="ListLabel79">
    <w:name w:val="ListLabel 79"/>
    <w:qFormat/>
    <w:rPr>
      <w:b/>
    </w:rPr>
  </w:style>
  <w:style w:type="character" w:styleId="ListLabel80">
    <w:name w:val="ListLabel 80"/>
    <w:qFormat/>
    <w:rPr>
      <w:b w:val="false"/>
      <w:i w:val="false"/>
      <w:iCs/>
    </w:rPr>
  </w:style>
  <w:style w:type="character" w:styleId="ListLabel81">
    <w:name w:val="ListLabel 81"/>
    <w:qFormat/>
    <w:rPr>
      <w:rFonts w:ascii="Calibri" w:hAnsi="Calibri"/>
      <w:b w:val="false"/>
      <w:i w:val="false"/>
      <w:iCs/>
      <w:color w:val="00000A"/>
    </w:rPr>
  </w:style>
  <w:style w:type="character" w:styleId="ListLabel82">
    <w:name w:val="ListLabel 82"/>
    <w:qFormat/>
    <w:rPr>
      <w:rFonts w:ascii="Arial" w:hAnsi="Arial"/>
      <w:b/>
    </w:rPr>
  </w:style>
  <w:style w:type="character" w:styleId="ListLabel83">
    <w:name w:val="ListLabel 83"/>
    <w:qFormat/>
    <w:rPr>
      <w:rFonts w:ascii="Calibri" w:hAnsi="Calibri"/>
      <w:b/>
      <w:i w:val="false"/>
      <w:iCs/>
    </w:rPr>
  </w:style>
  <w:style w:type="character" w:styleId="ListLabel84">
    <w:name w:val="ListLabel 84"/>
    <w:qFormat/>
    <w:rPr>
      <w:rFonts w:ascii="Calibri" w:hAnsi="Calibri" w:cs="Arial"/>
      <w:b/>
      <w:i w:val="false"/>
      <w:iCs/>
      <w:color w:val="00000A"/>
    </w:rPr>
  </w:style>
  <w:style w:type="character" w:styleId="ListLabel85">
    <w:name w:val="ListLabel 85"/>
    <w:qFormat/>
    <w:rPr>
      <w:rFonts w:ascii="Calibri" w:hAnsi="Calibri"/>
      <w:b/>
    </w:rPr>
  </w:style>
  <w:style w:type="character" w:styleId="ListLabel86">
    <w:name w:val="ListLabel 86"/>
    <w:qFormat/>
    <w:rPr>
      <w:b/>
    </w:rPr>
  </w:style>
  <w:style w:type="character" w:styleId="ListLabel87">
    <w:name w:val="ListLabel 87"/>
    <w:qFormat/>
    <w:rPr>
      <w:b/>
    </w:rPr>
  </w:style>
  <w:style w:type="character" w:styleId="ListLabel88">
    <w:name w:val="ListLabel 88"/>
    <w:qFormat/>
    <w:rPr>
      <w:b w:val="false"/>
      <w:i w:val="false"/>
      <w:iCs/>
    </w:rPr>
  </w:style>
  <w:style w:type="character" w:styleId="ListLabel89">
    <w:name w:val="ListLabel 89"/>
    <w:qFormat/>
    <w:rPr>
      <w:rFonts w:cs="Arial"/>
      <w:b w:val="false"/>
      <w:i w:val="false"/>
      <w:iCs/>
      <w:color w:val="00000A"/>
    </w:rPr>
  </w:style>
  <w:style w:type="character" w:styleId="ListLabel90">
    <w:name w:val="ListLabel 90"/>
    <w:qFormat/>
    <w:rPr>
      <w:b/>
    </w:rPr>
  </w:style>
  <w:style w:type="character" w:styleId="ListLabel91">
    <w:name w:val="ListLabel 91"/>
    <w:qFormat/>
    <w:rPr>
      <w:b w:val="false"/>
      <w:i w:val="false"/>
      <w:iCs/>
    </w:rPr>
  </w:style>
  <w:style w:type="character" w:styleId="ListLabel92">
    <w:name w:val="ListLabel 92"/>
    <w:qFormat/>
    <w:rPr>
      <w:rFonts w:ascii="Calibri" w:hAnsi="Calibri"/>
      <w:b w:val="false"/>
      <w:i w:val="false"/>
      <w:iCs/>
      <w:color w:val="00000A"/>
    </w:rPr>
  </w:style>
  <w:style w:type="character" w:styleId="ListLabel93">
    <w:name w:val="ListLabel 93"/>
    <w:qFormat/>
    <w:rPr>
      <w:rFonts w:ascii="Arial" w:hAnsi="Arial"/>
      <w:b/>
    </w:rPr>
  </w:style>
  <w:style w:type="character" w:styleId="ListLabel94">
    <w:name w:val="ListLabel 94"/>
    <w:qFormat/>
    <w:rPr>
      <w:rFonts w:ascii="Calibri" w:hAnsi="Calibri"/>
      <w:b/>
      <w:i w:val="false"/>
      <w:iCs/>
    </w:rPr>
  </w:style>
  <w:style w:type="character" w:styleId="ListLabel95">
    <w:name w:val="ListLabel 95"/>
    <w:qFormat/>
    <w:rPr>
      <w:rFonts w:ascii="Calibri" w:hAnsi="Calibri" w:cs="Arial"/>
      <w:b/>
      <w:i w:val="false"/>
      <w:iCs/>
      <w:color w:val="00000A"/>
    </w:rPr>
  </w:style>
  <w:style w:type="character" w:styleId="ListLabel96">
    <w:name w:val="ListLabel 96"/>
    <w:qFormat/>
    <w:rPr>
      <w:rFonts w:ascii="Calibri" w:hAnsi="Calibri"/>
      <w:b/>
    </w:rPr>
  </w:style>
  <w:style w:type="character" w:styleId="ListLabel97">
    <w:name w:val="ListLabel 97"/>
    <w:qFormat/>
    <w:rPr>
      <w:b/>
    </w:rPr>
  </w:style>
  <w:style w:type="character" w:styleId="ListLabel98">
    <w:name w:val="ListLabel 98"/>
    <w:qFormat/>
    <w:rPr>
      <w:b/>
    </w:rPr>
  </w:style>
  <w:style w:type="character" w:styleId="ListLabel99">
    <w:name w:val="ListLabel 99"/>
    <w:qFormat/>
    <w:rPr>
      <w:b w:val="false"/>
      <w:i w:val="false"/>
      <w:iCs/>
    </w:rPr>
  </w:style>
  <w:style w:type="character" w:styleId="ListLabel100">
    <w:name w:val="ListLabel 100"/>
    <w:qFormat/>
    <w:rPr>
      <w:rFonts w:cs="Arial"/>
      <w:b w:val="false"/>
      <w:i w:val="false"/>
      <w:iCs/>
      <w:color w:val="00000A"/>
    </w:rPr>
  </w:style>
  <w:style w:type="character" w:styleId="ListLabel101">
    <w:name w:val="ListLabel 101"/>
    <w:qFormat/>
    <w:rPr>
      <w:b/>
    </w:rPr>
  </w:style>
  <w:style w:type="character" w:styleId="ListLabel102">
    <w:name w:val="ListLabel 102"/>
    <w:qFormat/>
    <w:rPr>
      <w:b w:val="false"/>
      <w:i w:val="false"/>
      <w:iCs/>
    </w:rPr>
  </w:style>
  <w:style w:type="character" w:styleId="ListLabel103">
    <w:name w:val="ListLabel 103"/>
    <w:qFormat/>
    <w:rPr>
      <w:rFonts w:ascii="Calibri" w:hAnsi="Calibri"/>
      <w:b w:val="false"/>
      <w:i w:val="false"/>
      <w:iCs/>
      <w:color w:val="00000A"/>
    </w:rPr>
  </w:style>
  <w:style w:type="character" w:styleId="ListLabel104">
    <w:name w:val="ListLabel 104"/>
    <w:qFormat/>
    <w:rPr>
      <w:rFonts w:ascii="Arial" w:hAnsi="Arial"/>
      <w:b/>
    </w:rPr>
  </w:style>
  <w:style w:type="character" w:styleId="ListLabel105">
    <w:name w:val="ListLabel 105"/>
    <w:qFormat/>
    <w:rPr>
      <w:rFonts w:ascii="Calibri" w:hAnsi="Calibri"/>
      <w:b/>
      <w:i w:val="false"/>
      <w:iCs/>
    </w:rPr>
  </w:style>
  <w:style w:type="character" w:styleId="ListLabel106">
    <w:name w:val="ListLabel 106"/>
    <w:qFormat/>
    <w:rPr>
      <w:rFonts w:ascii="Calibri" w:hAnsi="Calibri" w:cs="Arial"/>
      <w:b/>
      <w:i w:val="false"/>
      <w:iCs/>
      <w:color w:val="00000A"/>
    </w:rPr>
  </w:style>
  <w:style w:type="character" w:styleId="ListLabel107">
    <w:name w:val="ListLabel 107"/>
    <w:qFormat/>
    <w:rPr>
      <w:rFonts w:ascii="Calibri" w:hAnsi="Calibri"/>
      <w:b/>
    </w:rPr>
  </w:style>
  <w:style w:type="character" w:styleId="ListLabel108">
    <w:name w:val="ListLabel 108"/>
    <w:qFormat/>
    <w:rPr>
      <w:b/>
    </w:rPr>
  </w:style>
  <w:style w:type="character" w:styleId="ListLabel109">
    <w:name w:val="ListLabel 109"/>
    <w:qFormat/>
    <w:rPr>
      <w:b/>
    </w:rPr>
  </w:style>
  <w:style w:type="character" w:styleId="ListLabel110">
    <w:name w:val="ListLabel 110"/>
    <w:qFormat/>
    <w:rPr>
      <w:b w:val="false"/>
      <w:i w:val="false"/>
      <w:iCs/>
    </w:rPr>
  </w:style>
  <w:style w:type="character" w:styleId="ListLabel111">
    <w:name w:val="ListLabel 111"/>
    <w:qFormat/>
    <w:rPr>
      <w:rFonts w:cs="Arial"/>
      <w:b w:val="false"/>
      <w:i w:val="false"/>
      <w:iCs/>
      <w:color w:val="00000A"/>
    </w:rPr>
  </w:style>
  <w:style w:type="character" w:styleId="ListLabel112">
    <w:name w:val="ListLabel 112"/>
    <w:qFormat/>
    <w:rPr>
      <w:b/>
    </w:rPr>
  </w:style>
  <w:style w:type="character" w:styleId="ListLabel113">
    <w:name w:val="ListLabel 113"/>
    <w:qFormat/>
    <w:rPr>
      <w:b w:val="false"/>
      <w:i w:val="false"/>
      <w:iCs/>
    </w:rPr>
  </w:style>
  <w:style w:type="character" w:styleId="ListLabel114">
    <w:name w:val="ListLabel 114"/>
    <w:qFormat/>
    <w:rPr>
      <w:rFonts w:ascii="Calibri" w:hAnsi="Calibri"/>
      <w:b w:val="false"/>
      <w:i w:val="false"/>
      <w:iCs/>
      <w:color w:val="00000A"/>
    </w:rPr>
  </w:style>
  <w:style w:type="character" w:styleId="ListLabel115">
    <w:name w:val="ListLabel 115"/>
    <w:qFormat/>
    <w:rPr>
      <w:rFonts w:ascii="Calibri" w:hAnsi="Calibri"/>
      <w:b/>
    </w:rPr>
  </w:style>
  <w:style w:type="character" w:styleId="ListLabel116">
    <w:name w:val="ListLabel 116"/>
    <w:qFormat/>
    <w:rPr>
      <w:rFonts w:ascii="Calibri" w:hAnsi="Calibri"/>
      <w:b/>
      <w:i w:val="false"/>
      <w:iCs/>
    </w:rPr>
  </w:style>
  <w:style w:type="character" w:styleId="ListLabel117">
    <w:name w:val="ListLabel 117"/>
    <w:qFormat/>
    <w:rPr>
      <w:rFonts w:ascii="Calibri" w:hAnsi="Calibri" w:cs="Arial"/>
      <w:b/>
      <w:i w:val="false"/>
      <w:iCs/>
      <w:color w:val="00000A"/>
    </w:rPr>
  </w:style>
  <w:style w:type="character" w:styleId="ListLabel118">
    <w:name w:val="ListLabel 118"/>
    <w:qFormat/>
    <w:rPr>
      <w:rFonts w:ascii="Calibri" w:hAnsi="Calibri"/>
      <w:b/>
    </w:rPr>
  </w:style>
  <w:style w:type="character" w:styleId="ListLabel119">
    <w:name w:val="ListLabel 119"/>
    <w:qFormat/>
    <w:rPr>
      <w:rFonts w:ascii="Calibri" w:hAnsi="Calibri"/>
      <w:b/>
    </w:rPr>
  </w:style>
  <w:style w:type="character" w:styleId="ListLabel120">
    <w:name w:val="ListLabel 120"/>
    <w:qFormat/>
    <w:rPr>
      <w:b/>
    </w:rPr>
  </w:style>
  <w:style w:type="character" w:styleId="ListLabel121">
    <w:name w:val="ListLabel 121"/>
    <w:qFormat/>
    <w:rPr>
      <w:b w:val="false"/>
      <w:i w:val="false"/>
      <w:iCs/>
    </w:rPr>
  </w:style>
  <w:style w:type="character" w:styleId="ListLabel122">
    <w:name w:val="ListLabel 122"/>
    <w:qFormat/>
    <w:rPr>
      <w:rFonts w:cs="Arial"/>
      <w:b w:val="false"/>
      <w:i w:val="false"/>
      <w:iCs/>
      <w:color w:val="00000A"/>
    </w:rPr>
  </w:style>
  <w:style w:type="character" w:styleId="ListLabel123">
    <w:name w:val="ListLabel 123"/>
    <w:qFormat/>
    <w:rPr>
      <w:b/>
    </w:rPr>
  </w:style>
  <w:style w:type="character" w:styleId="ListLabel124">
    <w:name w:val="ListLabel 124"/>
    <w:qFormat/>
    <w:rPr>
      <w:b w:val="false"/>
      <w:i w:val="false"/>
      <w:iCs/>
    </w:rPr>
  </w:style>
  <w:style w:type="character" w:styleId="ListLabel125">
    <w:name w:val="ListLabel 125"/>
    <w:qFormat/>
    <w:rPr>
      <w:rFonts w:ascii="Calibri" w:hAnsi="Calibri"/>
      <w:b w:val="false"/>
      <w:i w:val="false"/>
      <w:iCs/>
      <w:color w:val="00000A"/>
    </w:rPr>
  </w:style>
  <w:style w:type="character" w:styleId="ListLabel126">
    <w:name w:val="ListLabel 126"/>
    <w:qFormat/>
    <w:rPr>
      <w:rFonts w:ascii="Calibri" w:hAnsi="Calibri"/>
      <w:b/>
    </w:rPr>
  </w:style>
  <w:style w:type="character" w:styleId="ListLabel127">
    <w:name w:val="ListLabel 127"/>
    <w:qFormat/>
    <w:rPr>
      <w:rFonts w:ascii="Calibri" w:hAnsi="Calibri"/>
      <w:b/>
      <w:i w:val="false"/>
      <w:iCs/>
    </w:rPr>
  </w:style>
  <w:style w:type="character" w:styleId="ListLabel128">
    <w:name w:val="ListLabel 128"/>
    <w:qFormat/>
    <w:rPr>
      <w:rFonts w:ascii="Calibri" w:hAnsi="Calibri" w:cs="Arial"/>
      <w:b/>
      <w:i w:val="false"/>
      <w:iCs/>
      <w:color w:val="00000A"/>
    </w:rPr>
  </w:style>
  <w:style w:type="character" w:styleId="ListLabel129">
    <w:name w:val="ListLabel 129"/>
    <w:qFormat/>
    <w:rPr>
      <w:rFonts w:ascii="Calibri" w:hAnsi="Calibri"/>
      <w:b/>
    </w:rPr>
  </w:style>
  <w:style w:type="character" w:styleId="ListLabel130">
    <w:name w:val="ListLabel 130"/>
    <w:qFormat/>
    <w:rPr>
      <w:rFonts w:ascii="Calibri" w:hAnsi="Calibri"/>
      <w:b/>
    </w:rPr>
  </w:style>
  <w:style w:type="character" w:styleId="ListLabel131">
    <w:name w:val="ListLabel 131"/>
    <w:qFormat/>
    <w:rPr>
      <w:b/>
    </w:rPr>
  </w:style>
  <w:style w:type="character" w:styleId="ListLabel132">
    <w:name w:val="ListLabel 132"/>
    <w:qFormat/>
    <w:rPr>
      <w:b w:val="false"/>
      <w:i w:val="false"/>
      <w:iCs/>
    </w:rPr>
  </w:style>
  <w:style w:type="character" w:styleId="ListLabel133">
    <w:name w:val="ListLabel 133"/>
    <w:qFormat/>
    <w:rPr>
      <w:rFonts w:cs="Arial"/>
      <w:b w:val="false"/>
      <w:i w:val="false"/>
      <w:iCs/>
      <w:color w:val="00000A"/>
    </w:rPr>
  </w:style>
  <w:style w:type="character" w:styleId="ListLabel134">
    <w:name w:val="ListLabel 134"/>
    <w:qFormat/>
    <w:rPr>
      <w:b/>
    </w:rPr>
  </w:style>
  <w:style w:type="character" w:styleId="ListLabel135">
    <w:name w:val="ListLabel 135"/>
    <w:qFormat/>
    <w:rPr>
      <w:b w:val="false"/>
      <w:i w:val="false"/>
      <w:iCs/>
    </w:rPr>
  </w:style>
  <w:style w:type="character" w:styleId="ListLabel136">
    <w:name w:val="ListLabel 136"/>
    <w:qFormat/>
    <w:rPr>
      <w:rFonts w:ascii="Calibri" w:hAnsi="Calibri"/>
      <w:b w:val="false"/>
      <w:i w:val="false"/>
      <w:iCs/>
      <w:color w:val="00000A"/>
    </w:rPr>
  </w:style>
  <w:style w:type="paragraph" w:styleId="Ttulo">
    <w:name w:val="Título"/>
    <w:basedOn w:val="Normal"/>
    <w:next w:val="Corpodetexto"/>
    <w:qFormat/>
    <w:pPr>
      <w:keepNext/>
      <w:spacing w:before="240" w:after="120"/>
    </w:pPr>
    <w:rPr>
      <w:rFonts w:ascii="Liberation Sans" w:hAnsi="Liberation Sans" w:eastAsia="Microsoft YaHei" w:cs="Arial"/>
      <w:sz w:val="28"/>
      <w:szCs w:val="28"/>
    </w:rPr>
  </w:style>
  <w:style w:type="paragraph" w:styleId="Corpodetexto">
    <w:name w:val="Body Text"/>
    <w:basedOn w:val="Normal"/>
    <w:pPr>
      <w:spacing w:lineRule="auto" w:line="288" w:before="0" w:after="140"/>
    </w:pPr>
    <w:rPr/>
  </w:style>
  <w:style w:type="paragraph" w:styleId="Lista">
    <w:name w:val="List"/>
    <w:basedOn w:val="Corpode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rsid w:val="009f7713"/>
    <w:pPr>
      <w:keepNext/>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00000A"/>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link w:val="citao2Char"/>
    <w:qFormat/>
    <w:rsid w:val="006a70c8"/>
    <w:pPr>
      <w:shd w:val="clear" w:fill="FFFFCC"/>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bidi w:val="0"/>
      <w:spacing w:lineRule="auto" w:line="276" w:before="120" w:after="120"/>
      <w:jc w:val="both"/>
    </w:pPr>
    <w:rPr>
      <w:rFonts w:ascii="Ecofont_Spranq_eco_Sans" w:hAnsi="Ecofont_Spranq_eco_Sans" w:eastAsia="Arial Unicode MS" w:cs="Times New Roman"/>
      <w:color w:val="00000A"/>
      <w:sz w:val="20"/>
      <w:szCs w:val="20"/>
      <w:lang w:val="pt-BR" w:eastAsia="pt-BR" w:bidi="ar-SA"/>
    </w:rPr>
  </w:style>
  <w:style w:type="paragraph" w:styleId="Nivel11" w:customStyle="1">
    <w:name w:val="Nivel 1"/>
    <w:basedOn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00000A"/>
    </w:rPr>
  </w:style>
  <w:style w:type="paragraph" w:styleId="Nivel5" w:customStyle="1">
    <w:name w:val="Nivel 5"/>
    <w:basedOn w:val="Nivel4"/>
    <w:qFormat/>
    <w:rsid w:val="002f5eff"/>
    <w:pPr>
      <w:tabs>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
    <w:name w:val="Header"/>
    <w:basedOn w:val="Normal"/>
    <w:link w:val="CabealhoChar"/>
    <w:uiPriority w:val="99"/>
    <w:unhideWhenUsed/>
    <w:rsid w:val="00805244"/>
    <w:pPr>
      <w:tabs>
        <w:tab w:val="center" w:pos="4252" w:leader="none"/>
        <w:tab w:val="right" w:pos="8504" w:leader="none"/>
      </w:tabs>
    </w:pPr>
    <w:rPr/>
  </w:style>
  <w:style w:type="paragraph" w:styleId="Rodap">
    <w:name w:val="Footer"/>
    <w:basedOn w:val="Normal"/>
    <w:link w:val="RodapChar"/>
    <w:uiPriority w:val="99"/>
    <w:unhideWhenUsed/>
    <w:rsid w:val="00805244"/>
    <w:pPr>
      <w:tabs>
        <w:tab w:val="center" w:pos="4252" w:leader="none"/>
        <w:tab w:val="right" w:pos="8504" w:leader="none"/>
      </w:tabs>
    </w:pPr>
    <w:rPr/>
  </w:style>
  <w:style w:type="paragraph" w:styleId="Contedodatabela">
    <w:name w:val="Conteúdo da tabela"/>
    <w:basedOn w:val="Normal"/>
    <w:qFormat/>
    <w:pPr/>
    <w:rPr/>
  </w:style>
  <w:style w:type="paragraph" w:styleId="Ttulodetabela">
    <w:name w:val="Título de tabela"/>
    <w:basedOn w:val="Contedodatabela"/>
    <w:qFormat/>
    <w:pPr/>
    <w:rPr/>
  </w:style>
  <w:style w:type="numbering" w:styleId="NoList" w:default="1">
    <w:name w:val="No List"/>
    <w:uiPriority w:val="99"/>
    <w:semiHidden/>
    <w:unhideWhenUsed/>
    <w:qFormat/>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table" w:styleId="Tabelacomgrade">
    <w:name w:val="Table Grid"/>
    <w:basedOn w:val="Tabelanormal"/>
    <w:rsid w:val="002f5eff"/>
    <w:pPr>
      <w:spacing w:after="0" w:line="240" w:lineRule="auto"/>
    </w:pPr>
    <w:rPr>
      <w:rFonts w:eastAsiaTheme="minorEastAsia"/>
      <w:sz w:val="20"/>
      <w:szCs w:val="20"/>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Application>LibreOffice/5.2.7.2$Windows_X86_64 LibreOffice_project/2b7f1e640c46ceb28adf43ee075a6e8b8439ed10</Application>
  <Pages>13</Pages>
  <Words>5217</Words>
  <Characters>30144</Characters>
  <CharactersWithSpaces>35147</CharactersWithSpaces>
  <Paragraphs>247</Paragraphs>
  <Company>HNMD</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2022-02-08T13:06:00Z</dcterms:created>
  <dc:creator>Hugo Sales</dc:creator>
  <dc:description/>
  <dc:language>pt-BR</dc:language>
  <cp:lastModifiedBy/>
  <dcterms:modified xsi:type="dcterms:W3CDTF">2023-06-06T09:37:01Z</dcterms:modified>
  <cp:revision>22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HNMD</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